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Izvedbeni plan nastave (</w:t>
      </w:r>
      <w:r>
        <w:rPr>
          <w:rFonts w:cs="Times New Roman" w:ascii="Times New Roman" w:hAnsi="Times New Roman"/>
          <w:b/>
          <w:i/>
          <w:sz w:val="18"/>
          <w:szCs w:val="18"/>
        </w:rPr>
        <w:t>syllabus</w:t>
      </w:r>
      <w:r>
        <w:rPr>
          <w:rStyle w:val="Sidrofusnote"/>
          <w:rFonts w:cs="Times New Roman" w:ascii="Times New Roman" w:hAnsi="Times New Roman"/>
          <w:sz w:val="18"/>
          <w:szCs w:val="18"/>
        </w:rPr>
        <w:footnoteReference w:id="2"/>
      </w:r>
      <w:r>
        <w:rPr>
          <w:rFonts w:cs="Times New Roman" w:ascii="Times New Roman" w:hAnsi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0"/>
        <w:gridCol w:w="415"/>
        <w:gridCol w:w="416"/>
        <w:gridCol w:w="237"/>
        <w:gridCol w:w="179"/>
        <w:gridCol w:w="135"/>
        <w:gridCol w:w="44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9"/>
        <w:gridCol w:w="209"/>
        <w:gridCol w:w="18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Sastavnica</w:t>
            </w:r>
          </w:p>
        </w:tc>
        <w:tc>
          <w:tcPr>
            <w:tcW w:w="5197" w:type="dxa"/>
            <w:gridSpan w:val="2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Sveučilište u Zadru</w:t>
            </w:r>
          </w:p>
        </w:tc>
        <w:tc>
          <w:tcPr>
            <w:tcW w:w="759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akad. god.</w:t>
            </w:r>
          </w:p>
        </w:tc>
        <w:tc>
          <w:tcPr>
            <w:tcW w:w="153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./202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</w:tr>
      <w:tr>
        <w:trPr>
          <w:trHeight w:val="178" w:hRule="atLeast"/>
        </w:trPr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Naziv kolegija</w:t>
            </w:r>
          </w:p>
        </w:tc>
        <w:tc>
          <w:tcPr>
            <w:tcW w:w="5197" w:type="dxa"/>
            <w:gridSpan w:val="2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Metodika predmeta izbornog modula A1</w:t>
            </w:r>
          </w:p>
        </w:tc>
        <w:tc>
          <w:tcPr>
            <w:tcW w:w="759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ECTS</w:t>
            </w:r>
          </w:p>
        </w:tc>
        <w:tc>
          <w:tcPr>
            <w:tcW w:w="153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3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Naziv studija</w:t>
            </w:r>
          </w:p>
        </w:tc>
        <w:tc>
          <w:tcPr>
            <w:tcW w:w="7487" w:type="dxa"/>
            <w:gridSpan w:val="3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Integrirani preddiplomski i diplomski sveučilišni studij za učitelje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Razina studija</w:t>
            </w:r>
          </w:p>
        </w:tc>
        <w:tc>
          <w:tcPr>
            <w:tcW w:w="1731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21523523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preddiplomski</w:t>
            </w:r>
          </w:p>
        </w:tc>
        <w:tc>
          <w:tcPr>
            <w:tcW w:w="1530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53332768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diplomski</w:t>
            </w:r>
          </w:p>
        </w:tc>
        <w:tc>
          <w:tcPr>
            <w:tcW w:w="193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989627390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integrirani</w:t>
            </w:r>
          </w:p>
        </w:tc>
        <w:tc>
          <w:tcPr>
            <w:tcW w:w="2290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215366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poslijediplomski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Godina studija</w:t>
            </w:r>
          </w:p>
        </w:tc>
        <w:tc>
          <w:tcPr>
            <w:tcW w:w="1497" w:type="dxa"/>
            <w:gridSpan w:val="7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5714348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1.</w:t>
            </w:r>
          </w:p>
        </w:tc>
        <w:tc>
          <w:tcPr>
            <w:tcW w:w="1498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781230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2.</w:t>
            </w:r>
          </w:p>
        </w:tc>
        <w:tc>
          <w:tcPr>
            <w:tcW w:w="1496" w:type="dxa"/>
            <w:gridSpan w:val="6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9478028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3.</w:t>
            </w:r>
          </w:p>
        </w:tc>
        <w:tc>
          <w:tcPr>
            <w:tcW w:w="1497" w:type="dxa"/>
            <w:gridSpan w:val="9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898715378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  <w:r>
                  <w:rPr>
                    <w:rFonts w:eastAsia="Calibri" w:cs="Times New Roman" w:ascii="Times New Roman" w:hAnsi="Times New Roman"/>
                    <w:kern w:val="0"/>
                    <w:sz w:val="18"/>
                    <w:szCs w:val="18"/>
                    <w:lang w:val="hr-HR" w:eastAsia="en-US" w:bidi="ar-SA"/>
                  </w:rPr>
                  <w:t>4.</w:t>
                </w:r>
              </w:sdtContent>
            </w:sdt>
          </w:p>
        </w:tc>
        <w:tc>
          <w:tcPr>
            <w:tcW w:w="1499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50582061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5.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Semestar</w:t>
            </w:r>
          </w:p>
        </w:tc>
        <w:tc>
          <w:tcPr>
            <w:tcW w:w="1068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29526303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zimski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sdt>
              <w:sdtPr>
                <w:id w:val="78882804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ljetni</w:t>
            </w:r>
          </w:p>
        </w:tc>
        <w:tc>
          <w:tcPr>
            <w:tcW w:w="106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92935243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I.</w:t>
            </w:r>
          </w:p>
        </w:tc>
        <w:tc>
          <w:tcPr>
            <w:tcW w:w="106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627191488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II.</w:t>
            </w:r>
          </w:p>
        </w:tc>
        <w:tc>
          <w:tcPr>
            <w:tcW w:w="106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0521079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III.</w:t>
            </w:r>
          </w:p>
        </w:tc>
        <w:tc>
          <w:tcPr>
            <w:tcW w:w="106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4661200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IV.</w:t>
            </w:r>
          </w:p>
        </w:tc>
        <w:tc>
          <w:tcPr>
            <w:tcW w:w="104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95600948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V.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94602034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VI.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Status kolegija</w:t>
            </w:r>
          </w:p>
        </w:tc>
        <w:tc>
          <w:tcPr>
            <w:tcW w:w="10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sdt>
              <w:sdtPr>
                <w:id w:val="824281380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obvezni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kolegij</w:t>
            </w:r>
          </w:p>
        </w:tc>
        <w:tc>
          <w:tcPr>
            <w:tcW w:w="106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sdt>
              <w:sdtPr>
                <w:id w:val="42736128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izborni kolegij</w:t>
            </w:r>
          </w:p>
        </w:tc>
        <w:tc>
          <w:tcPr>
            <w:tcW w:w="2833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1785192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izborni kolegij koji se nudi studentima drugih odjela</w:t>
            </w:r>
          </w:p>
        </w:tc>
        <w:tc>
          <w:tcPr>
            <w:tcW w:w="1414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Nastavničke kompetencije</w:t>
            </w:r>
          </w:p>
        </w:tc>
        <w:tc>
          <w:tcPr>
            <w:tcW w:w="110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3650677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607911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NE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Opterećenje</w:t>
            </w:r>
          </w:p>
        </w:tc>
        <w:tc>
          <w:tcPr>
            <w:tcW w:w="415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15</w:t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P</w:t>
            </w:r>
          </w:p>
        </w:tc>
        <w:tc>
          <w:tcPr>
            <w:tcW w:w="4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15</w:t>
            </w:r>
          </w:p>
        </w:tc>
        <w:tc>
          <w:tcPr>
            <w:tcW w:w="41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</w:t>
            </w:r>
          </w:p>
        </w:tc>
        <w:tc>
          <w:tcPr>
            <w:tcW w:w="4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V</w:t>
            </w:r>
          </w:p>
        </w:tc>
        <w:tc>
          <w:tcPr>
            <w:tcW w:w="3178" w:type="dxa"/>
            <w:gridSpan w:val="1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Mrežne stranice kolegija</w:t>
            </w:r>
          </w:p>
        </w:tc>
        <w:tc>
          <w:tcPr>
            <w:tcW w:w="1812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sdt>
              <w:sdtPr>
                <w:id w:val="88661026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DA </w:t>
            </w:r>
            <w:sdt>
              <w:sdtPr>
                <w:id w:val="80757488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NE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Mjesto i vrijeme izvođenja nastave</w:t>
            </w:r>
          </w:p>
        </w:tc>
        <w:tc>
          <w:tcPr>
            <w:tcW w:w="2497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predavanje i seminari - učionica 107</w:t>
            </w:r>
          </w:p>
        </w:tc>
        <w:tc>
          <w:tcPr>
            <w:tcW w:w="2473" w:type="dxa"/>
            <w:gridSpan w:val="1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Jezik/jezici na kojima se izvodi kolegij</w:t>
            </w:r>
          </w:p>
        </w:tc>
        <w:tc>
          <w:tcPr>
            <w:tcW w:w="2517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hrvatski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Početak nastave</w:t>
            </w:r>
          </w:p>
        </w:tc>
        <w:tc>
          <w:tcPr>
            <w:tcW w:w="2497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.10.202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  <w:tc>
          <w:tcPr>
            <w:tcW w:w="2473" w:type="dxa"/>
            <w:gridSpan w:val="1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Završetak nastave</w:t>
            </w:r>
          </w:p>
        </w:tc>
        <w:tc>
          <w:tcPr>
            <w:tcW w:w="2517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27.1.202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Preduvjeti za upis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nema</w:t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Nositelj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doc.dr.sc. Josip Lasić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jlasic22@unizd.hr</w:t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srijeda 17.30 - 19h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Izvođač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Ana Lisica, prof.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">
              <w:r>
                <w:rPr>
                  <w:rStyle w:val="Internetskapoveznica"/>
                  <w:rFonts w:eastAsia="Calibri" w:cs="Times New Roman" w:ascii="Times New Roman" w:hAnsi="Times New Roman"/>
                  <w:kern w:val="0"/>
                  <w:sz w:val="18"/>
                  <w:szCs w:val="18"/>
                  <w:lang w:val="hr-HR" w:eastAsia="en-US" w:bidi="ar-SA"/>
                </w:rPr>
                <w:t>alisica22@unizd.hr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 </w:t>
            </w:r>
            <w:hyperlink r:id="rId3">
              <w:r>
                <w:rPr>
                  <w:rStyle w:val="Internetskapoveznica"/>
                  <w:rFonts w:eastAsia="Calibri" w:cs="Times New Roman" w:ascii="Times New Roman" w:hAnsi="Times New Roman"/>
                  <w:kern w:val="0"/>
                  <w:sz w:val="18"/>
                  <w:szCs w:val="18"/>
                  <w:lang w:val="hr-HR" w:eastAsia="en-US" w:bidi="ar-SA"/>
                </w:rPr>
                <w:t>ana.lisica1@skole.hr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nakon nastave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Suradnici na kolegiju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Suradnici na kolegiju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E-mail</w:t>
            </w:r>
          </w:p>
        </w:tc>
        <w:tc>
          <w:tcPr>
            <w:tcW w:w="3694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03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Konzultacije</w:t>
            </w:r>
          </w:p>
        </w:tc>
        <w:tc>
          <w:tcPr>
            <w:tcW w:w="2290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Vrste izvođenja nastave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228740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predavanja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44186369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seminari i radionice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sdt>
              <w:sdtPr>
                <w:id w:val="144737422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vježbe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45524999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obrazovanje na daljinu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50315181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terenska nastava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589641807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samostalni zadaci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57628515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multimedija i mreža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009261100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laboratorij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7111326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mentorski rad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89563163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3297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Ishodi učenja kolegija</w:t>
            </w:r>
          </w:p>
        </w:tc>
        <w:tc>
          <w:tcPr>
            <w:tcW w:w="5990" w:type="dxa"/>
            <w:gridSpan w:val="2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Nakon položenog ispita iz ovoga kolegija studenti će biti sposobni: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pravilno tumačiti i interpretirati temeljne pojmove metodike hrvatskoga jezika i metodike književnosti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analizirati kurikul, svrhu i ishode predmeta, odrediti unutarpredmetnu i međupredmetnu korelaciju te međupredmetne teme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organizirati i izvoditi nastavu (jezika, književnosti, usmenoga i pisanoga izražavanja te medijske kulture) u predmetnoj nastavi u okviru 45 minuta i prilagoditi se učenicima različitih razreda predmetne nastave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osmisliti i napisati nastavnu pripravu iz svih predmetnih područja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osmisliti tehnike vrednovanja i samovrednovanja učenika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osmisliti plan izvannastavne aktivnosti</w:t>
            </w:r>
          </w:p>
          <w:p>
            <w:pPr>
              <w:pStyle w:val="Sadrajitablice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hr-HR" w:eastAsia="en-US" w:bidi="ar-SA"/>
              </w:rPr>
              <w:t>osmisliti predmetni i međupredmetni projekt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primjenjivati različite oblike i metode rada te koristiti suvremena nastavna sredstva i pomagala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prepoznati učenike s posebnim odgojno-obrazovnim potrebama i prilagoditi nastavu njihovim mogućnostima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pratiti suvremenu metodičku literaturu za nastavu hrvatskoga jezika</w:t>
            </w:r>
          </w:p>
          <w:p>
            <w:pPr>
              <w:pStyle w:val="Sadrajitablice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3297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Ishodi učenja na razini programa</w:t>
            </w:r>
          </w:p>
        </w:tc>
        <w:tc>
          <w:tcPr>
            <w:tcW w:w="5990" w:type="dxa"/>
            <w:gridSpan w:val="26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ind w:left="72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Studenti će moći: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kritički vrednovati različite izvore znanja  iz područja odgoja i obrazovanja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primijeniti standardnojezične norme na svim razinama (pravopisnoj, pravogovornoj, gramatičkoj, leksičkoj i stilističkoj)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govorno i pisano komunicirati na materinskom jeziku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koristiti računalnu tehnologiju za pripremu nastave, stvaranje i oblikovanje teksta i slika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prepoznati specifične potrebe učenika koji su uvjetovani njihovom različitošću i posebnostima na individualnoj razini</w:t>
            </w:r>
          </w:p>
        </w:tc>
      </w:tr>
      <w:tr>
        <w:trPr/>
        <w:tc>
          <w:tcPr>
            <w:tcW w:w="9287" w:type="dxa"/>
            <w:gridSpan w:val="3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90" w:hRule="atLeast"/>
        </w:trPr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Načini praćenja studenata</w:t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98714508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pohađanje nastave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9318658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priprema za nastavu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94212541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domaće zadaće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9838873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kontinuirana evaluacija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81486548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istraživanje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66465105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praktični rad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88014055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eksperimentalni rad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5379873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izlaganje</w:t>
            </w:r>
          </w:p>
        </w:tc>
        <w:tc>
          <w:tcPr>
            <w:tcW w:w="149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56779732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projekt</w:t>
            </w:r>
          </w:p>
        </w:tc>
        <w:tc>
          <w:tcPr>
            <w:tcW w:w="149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7370200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seminar</w:t>
            </w:r>
          </w:p>
        </w:tc>
      </w:tr>
      <w:tr>
        <w:trPr>
          <w:trHeight w:val="190" w:hRule="atLeast"/>
        </w:trPr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9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41155207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kolokvij(i)</w:t>
            </w:r>
          </w:p>
        </w:tc>
        <w:tc>
          <w:tcPr>
            <w:tcW w:w="149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03640360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pismeni ispit</w:t>
            </w:r>
          </w:p>
        </w:tc>
        <w:tc>
          <w:tcPr>
            <w:tcW w:w="149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37561402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usmeni ispit</w:t>
            </w:r>
          </w:p>
        </w:tc>
        <w:tc>
          <w:tcPr>
            <w:tcW w:w="2996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04715221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ostalo: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Uvjeti pristupanja ispitu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Položen pismeni ispit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Ispitni rokovi</w:t>
            </w:r>
          </w:p>
        </w:tc>
        <w:tc>
          <w:tcPr>
            <w:tcW w:w="2905" w:type="dxa"/>
            <w:gridSpan w:val="1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35036023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zimski ispitni rok</w:t>
            </w:r>
          </w:p>
        </w:tc>
        <w:tc>
          <w:tcPr>
            <w:tcW w:w="2470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681325447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ljetni ispitni rok</w:t>
            </w:r>
          </w:p>
        </w:tc>
        <w:tc>
          <w:tcPr>
            <w:tcW w:w="211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28814825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jesenski ispitni rok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Termini ispitnih rokova</w:t>
            </w:r>
          </w:p>
        </w:tc>
        <w:tc>
          <w:tcPr>
            <w:tcW w:w="2905" w:type="dxa"/>
            <w:gridSpan w:val="1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veljača 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  <w:tc>
          <w:tcPr>
            <w:tcW w:w="2470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1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rujan 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Opis kolegija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Sadržaj kolegija (nastavne teme)</w:t>
            </w:r>
          </w:p>
        </w:tc>
        <w:tc>
          <w:tcPr>
            <w:tcW w:w="7487" w:type="dxa"/>
            <w:gridSpan w:val="33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Predavanja: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Upoznavanje s planom i programom rada te predmetnom literaturom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Kurikul nastavnoga predmeta Hrvatski jezik, svrha nastave hrvatskoga jezika, ishodi i  predmetna područja u predmetu Hrvatski jezik, unutarpredmetna i međupredmetna korelacija, međupredmetne teme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Ustroj nastavne jedinice, artikulacija sata – Zašto je motivacija tako bitna?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Pisana priprava prije i poslije reforme – Kako napisati kvalitetnu pripravu?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Sat školske interpretacija lirske pjesme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Sat školske interpretacije proznoga teksta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Sat školske interpretacije dramskoga teksta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Sat obrade jezične nastavne jedinice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Pojam i vrste medija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Sat medijske kulture - Strip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Svrha nastave jezičnoga izražavanja – četiri jezične vještine: čitanje, pisanje, slušanje i govorenje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 Djelo za cjelovito čitanje -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različiti pristupi i interpretacije lektirnih djela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13. Vrednovanje (vrednovanje za učenje, vrednovanje kao učenje i vrednovanje naučenog) te samovrednovanje i vršnjačko vrednovanje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14. Izvannastavne aktivnosti – Literarna, Dramska, Novinarska i Foto skupina te osnivanje  Čitateljskog kluba – svrha, planovi i programi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15. Projektna nastava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Seminari: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Plan i program seminara i vježbi, ciljevi i način rada te studentske obveze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e-Dnevnik - Kako odrediti ishod nastavne jedinice, kako pravilno napisati nastavnu jedinicu u e-Dnevnik, što je bilješka, gdje se, kako i zašto bilježi, kome je upućena i kakva mora biti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Korelacije - kako odrediti unutarpredmetnu i međupredmetnu korelaciju te povezanost s međupredmetnim temama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Artikulacija sata – trajanje i smisao pojedine faze, različite vježbe za motivaciju (anagrami, križaljke, asocijacije, jezične igre, govorne vježbe...), različita rješenja za sintezu nastavnoga gradiva pojedine nastavne jedinice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Izvori nastave Hrvatskoga jezika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Metodička priprava – lirska pjesma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Metodička priprava – prozni tekst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Metodička priprava – dramski tekst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Metodička priprava – jezična nastavna jedinica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Motivacije za sadržaje medijske kulture, rad u digitalnim programima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Metodička priprava – sat medijske kulture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Govorne i pisane vježbe (ispravci kraćih pisanih uradaka i školskih zadaća)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Osmišljavanje različitih pristupa i načina interpretacije zadanog lektirnog djela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Vrednovanje učeničkih uradaka i osmišljavanje listića za samovrednovanje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 Izrada plana (određene) izvannastavne aktivnosti te osmišljavanje novih INA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 Samostalno osmišljavanje predmetnoga i međupredmetnoga projekta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Obvezna literatura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Bežen, Ante (2008.): Metodika – znanost o poučavanju nastavnog predmeta. Zagreb: Profil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Rosandić, Dragutin (2005.): Metodika književnoga odgoja.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Težak, Stjepko (1996.): Teorija i praksa nastave hrvatskoga jezika 1.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Težak, Stjepko (1998.): Teorija i praksa nastave hrvatskoga jezika 2.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Visinko, Karol (2014.): Čitanje, poučavanje i učenje.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Gabelica, Marina, Težak, Dubravka (2017): Kreativni pristup lektiri. Zagreb: Učiteljski fakultet u Zagrebu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Težak, Stjepko (2002.): Metodika nastave filma.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Kurikulum za predmet Hrvatski jezik (2019.): Ministarstvo znanosti, obrazovanja i športa Republike Hrvatske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Dodatna literatura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Zalar, Dijana (2002): Poezija u zrcalu nastave. Zagreb: Mozaik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Šabić, Ana Gabrijela (1991.): Učenik i lirika. Zagreb: Školske novine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Visinko, Karol (2010.) Jezično izražavanje u nastavi hrvatskoga jezika: pisanje.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  <w:t>- Ham, Sanda (2017.): Školska gramatika hrvatskoga jezika. Zagreb: Školska knjiga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Mrežni izvori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Provjera ishoda učenja (prema uputama AZVO)</w:t>
            </w:r>
          </w:p>
        </w:tc>
        <w:tc>
          <w:tcPr>
            <w:tcW w:w="5755" w:type="dxa"/>
            <w:gridSpan w:val="2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Samo završni ispit</w:t>
            </w:r>
          </w:p>
        </w:tc>
        <w:tc>
          <w:tcPr>
            <w:tcW w:w="1732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82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54514726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pismeni ispit</w:t>
            </w:r>
          </w:p>
        </w:tc>
        <w:tc>
          <w:tcPr>
            <w:tcW w:w="186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84241599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završni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usmeni ispit</w:t>
            </w:r>
          </w:p>
        </w:tc>
        <w:tc>
          <w:tcPr>
            <w:tcW w:w="1812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540750918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pismeni i usmeni završni ispit</w:t>
            </w:r>
          </w:p>
        </w:tc>
        <w:tc>
          <w:tcPr>
            <w:tcW w:w="173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93925253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praktični rad i završni ispit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38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890877865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samo kolokvij/zadaće</w:t>
            </w:r>
          </w:p>
        </w:tc>
        <w:tc>
          <w:tcPr>
            <w:tcW w:w="1408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49391243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kolokvij / zadaća i završni ispit</w:t>
            </w:r>
          </w:p>
        </w:tc>
        <w:tc>
          <w:tcPr>
            <w:tcW w:w="115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5156000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rad</w:t>
            </w:r>
          </w:p>
        </w:tc>
        <w:tc>
          <w:tcPr>
            <w:tcW w:w="123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55260743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seminarski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rad i završni ispit</w:t>
            </w:r>
          </w:p>
        </w:tc>
        <w:tc>
          <w:tcPr>
            <w:tcW w:w="1125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50653962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praktični rad</w:t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759" w:leader="none"/>
              </w:tabs>
              <w:suppressAutoHyphens w:val="true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id w:val="145974437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hr-HR" w:bidi="ar-SA"/>
              </w:rPr>
              <w:t>drugi oblici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Način formiranja završne ocjene (%)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100% završni ispit</w:t>
            </w:r>
          </w:p>
        </w:tc>
      </w:tr>
      <w:tr>
        <w:trPr/>
        <w:tc>
          <w:tcPr>
            <w:tcW w:w="180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Ocjenjivanje kolokvija i završnog ispita (%)</w:t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manja od 50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% nedovoljan (1)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60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% dovoljan (2)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70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% dobar (3)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80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% vrlo dobar (4)</w:t>
            </w:r>
          </w:p>
        </w:tc>
      </w:tr>
      <w:tr>
        <w:trPr/>
        <w:tc>
          <w:tcPr>
            <w:tcW w:w="180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26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90</w:t>
            </w:r>
          </w:p>
        </w:tc>
        <w:tc>
          <w:tcPr>
            <w:tcW w:w="6061" w:type="dxa"/>
            <w:gridSpan w:val="2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% izvrstan (5)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Način praćenja kvalitete</w:t>
            </w:r>
          </w:p>
        </w:tc>
        <w:tc>
          <w:tcPr>
            <w:tcW w:w="7487" w:type="dxa"/>
            <w:gridSpan w:val="3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73744627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studentska evaluacija nastave na razini Sveučilišta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4611121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studentska evaluacija nastave na razini sastavnice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124494339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interna evaluacija nastave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1725657921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☒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tematske sjednice stručnih vijeća sastavnica o kvaliteti nastave i rezultatima studentske ankete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id w:val="48964402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18"/>
                    <w:szCs w:val="18"/>
                    <w:lang w:val="hr-H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ostalo</w:t>
            </w:r>
          </w:p>
        </w:tc>
      </w:tr>
      <w:tr>
        <w:trPr/>
        <w:tc>
          <w:tcPr>
            <w:tcW w:w="18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Napomena / </w:t>
            </w:r>
          </w:p>
          <w:p>
            <w:pPr>
              <w:pStyle w:val="Normal"/>
              <w:widowControl w:val="false"/>
              <w:suppressAutoHyphens w:val="true"/>
              <w:spacing w:before="20" w:after="2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hr-HR" w:eastAsia="en-US" w:bidi="ar-SA"/>
              </w:rPr>
              <w:t>Ostalo</w:t>
            </w:r>
          </w:p>
        </w:tc>
        <w:tc>
          <w:tcPr>
            <w:tcW w:w="7487" w:type="dxa"/>
            <w:gridSpan w:val="3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Sukladno čl. 6.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18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Prema čl. 14.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18"/>
                <w:lang w:val="hr-HR" w:eastAsia="en-US" w:bidi="ar-SA"/>
              </w:rPr>
              <w:t>Etičkog kodeksa</w:t>
            </w: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Etički je nedopušten svaki čin koji predstavlja povrjedu akademskog poštenja. To uključuje, ali se ne ograničava samo na: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- razne oblike prijevare kao što su uporaba ili posjedovanje knjiga, bilježaka, podataka, elektroničkih naprava ili drugih pomagala za vrijeme ispita, osim u slučajevima kada je to izrijekom dopušteno;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4">
              <w:r>
                <w:rPr>
                  <w:rStyle w:val="Internetskapoveznica"/>
                  <w:rFonts w:eastAsia="MS Gothic" w:cs="Times New Roman" w:ascii="Times New Roman" w:hAnsi="Times New Roman"/>
                  <w:i/>
                  <w:color w:val="auto"/>
                  <w:kern w:val="0"/>
                  <w:sz w:val="18"/>
                  <w:szCs w:val="18"/>
                  <w:lang w:val="hr-HR" w:eastAsia="en-US" w:bidi="ar-SA"/>
                </w:rPr>
                <w:t>Pravilnik o stegovnoj odgovornosti studenata/studentica Sveučilišta u Zadru</w:t>
              </w:r>
            </w:hyperlink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8" w:leader="none"/>
              </w:tabs>
              <w:suppressAutoHyphens w:val="true"/>
              <w:spacing w:before="20" w:after="20"/>
              <w:jc w:val="both"/>
              <w:rPr>
                <w:rFonts w:ascii="Times New Roman" w:hAnsi="Times New Roman" w:eastAsia="MS Gothic" w:cs="Times New Roman"/>
                <w:sz w:val="18"/>
                <w:szCs w:val="18"/>
              </w:rPr>
            </w:pPr>
            <w:r>
              <w:rPr>
                <w:rFonts w:eastAsia="MS Gothic" w:cs="Times New Roman" w:ascii="Times New Roman" w:hAnsi="Times New Roman"/>
                <w:kern w:val="0"/>
                <w:sz w:val="18"/>
                <w:szCs w:val="18"/>
                <w:lang w:val="hr-HR" w:eastAsia="en-US" w:bidi="ar-SA"/>
              </w:rPr>
              <w:t xml:space="preserve">U kolegiju se koristi Merlin, sustav za e-učenje, pa su studentima/cama potrebni AAI računi. </w:t>
            </w:r>
            <w:r>
              <w:rPr>
                <w:rFonts w:eastAsia="MS Gothic" w:cs="Times New Roman" w:ascii="Times New Roman" w:hAnsi="Times New Roman"/>
                <w:i/>
                <w:kern w:val="0"/>
                <w:sz w:val="18"/>
                <w:szCs w:val="18"/>
                <w:lang w:val="hr-HR" w:eastAsia="en-US" w:bidi="ar-SA"/>
              </w:rPr>
              <w:t>/izbrisati po potrebi/</w:t>
            </w:r>
          </w:p>
        </w:tc>
      </w:tr>
    </w:tbl>
    <w:p>
      <w:pPr>
        <w:pStyle w:val="Normal"/>
        <w:spacing w:before="120" w:after="120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headerReference w:type="default" r:id="rId5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Merriweather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cs="Times New Roman" w:ascii="Merriweather" w:hAnsi="Merriweather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ilnaslova2"/>
      <w:tabs>
        <w:tab w:val="clear" w:pos="708"/>
        <w:tab w:val="left" w:pos="1418" w:leader="none"/>
      </w:tabs>
      <w:spacing w:beforeAutospacing="0" w:before="0" w:afterAutospacing="0" w:after="0"/>
      <w:ind w:left="1560" w:right="-142" w:hanging="0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7130" cy="961390"/>
              <wp:effectExtent l="0" t="0" r="0" b="0"/>
              <wp:wrapNone/>
              <wp:docPr id="1" name="Sli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6400" cy="96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adrajokvira"/>
                            <w:spacing w:before="0" w:after="28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4535" cy="782955"/>
                                <wp:effectExtent l="0" t="0" r="0" b="0"/>
                                <wp:docPr id="3" name="Picture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lika1" fillcolor="white" stroked="t" style="position:absolute;margin-left:-16.35pt;margin-top:-21.1pt;width:91.8pt;height:75.6pt;v-text-anchor:middle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Sadrajokvira"/>
                      <w:spacing w:before="0" w:after="28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>
        <w:bottom w:val="single" w:sz="4" w:space="1" w:color="000000"/>
      </w:pBdr>
      <w:tabs>
        <w:tab w:val="clear" w:pos="708"/>
        <w:tab w:val="left" w:pos="1418" w:leader="none"/>
      </w:tabs>
      <w:spacing w:before="0" w:after="0"/>
      <w:ind w:left="1560" w:hanging="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>
    <w:pPr>
      <w:pStyle w:val="Zaglavlje"/>
      <w:rPr/>
    </w:pPr>
    <w:r>
      <w:rPr/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2ac6"/>
    <w:pPr>
      <w:widowControl/>
      <w:suppressAutoHyphens w:val="true"/>
      <w:bidi w:val="0"/>
      <w:spacing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947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947ba"/>
    <w:rPr/>
  </w:style>
  <w:style w:type="character" w:styleId="Internetskapoveznica">
    <w:name w:val="Internetska poveznica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9745e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82834"/>
    <w:rPr>
      <w:vertAlign w:val="superscript"/>
    </w:rPr>
  </w:style>
  <w:style w:type="character" w:styleId="Znakovifusnota">
    <w:name w:val="Znakovi fusnota"/>
    <w:qFormat/>
    <w:rPr/>
  </w:style>
  <w:style w:type="character" w:styleId="Sidrozavrnebiljeke">
    <w:name w:val="Sidro završne bilješk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9947b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usnota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isica22@unizd.hr" TargetMode="External"/><Relationship Id="rId3" Type="http://schemas.openxmlformats.org/officeDocument/2006/relationships/hyperlink" Target="mailto:ana.lisica1@skole.hr" TargetMode="External"/><Relationship Id="rId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header" Target="head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9718-506C-4310-A9B2-E2A27B3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LibreOffice/7.0.1.2$Windows_X86_64 LibreOffice_project/7cbcfc562f6eb6708b5ff7d7397325de9e764452</Application>
  <Pages>4</Pages>
  <Words>1335</Words>
  <Characters>8226</Characters>
  <CharactersWithSpaces>9342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2022-09-27T10:10:00Z</dcterms:created>
  <dc:creator>ILončar</dc:creator>
  <dc:description/>
  <dc:language>hr-HR</dc:language>
  <cp:lastModifiedBy/>
  <cp:lastPrinted>2021-02-12T11:27:00Z</cp:lastPrinted>
  <dcterms:modified xsi:type="dcterms:W3CDTF">2023-09-20T10:27:54Z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