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120" w:after="120"/>
        <w:jc w:val="center"/>
        <w:rPr>
          <w:rFonts w:ascii="Times New Roman" w:hAnsi="Times New Roman" w:cs="Times New Roman"/>
          <w:b/>
          <w:b/>
          <w:sz w:val="18"/>
          <w:szCs w:val="18"/>
        </w:rPr>
      </w:pPr>
      <w:r>
        <w:rPr>
          <w:rFonts w:cs="Times New Roman" w:ascii="Times New Roman" w:hAnsi="Times New Roman"/>
          <w:b/>
          <w:sz w:val="18"/>
          <w:szCs w:val="18"/>
        </w:rPr>
        <w:t>Izvedbeni plan nastave (</w:t>
      </w:r>
      <w:r>
        <w:rPr>
          <w:rFonts w:cs="Times New Roman" w:ascii="Times New Roman" w:hAnsi="Times New Roman"/>
          <w:b/>
          <w:i/>
          <w:sz w:val="18"/>
          <w:szCs w:val="18"/>
        </w:rPr>
        <w:t>syllabus</w:t>
      </w:r>
      <w:r>
        <w:rPr>
          <w:rStyle w:val="Sidrofusnote"/>
          <w:rFonts w:cs="Times New Roman" w:ascii="Times New Roman" w:hAnsi="Times New Roman"/>
          <w:sz w:val="18"/>
          <w:szCs w:val="18"/>
        </w:rPr>
        <w:footnoteReference w:id="2"/>
      </w:r>
      <w:r>
        <w:rPr>
          <w:rFonts w:cs="Times New Roman" w:ascii="Times New Roman" w:hAnsi="Times New Roman"/>
          <w:b/>
          <w:sz w:val="18"/>
          <w:szCs w:val="18"/>
        </w:rPr>
        <w:t>)</w:t>
      </w:r>
    </w:p>
    <w:tbl>
      <w:tblPr>
        <w:tblStyle w:val="TableGrid"/>
        <w:tblW w:w="928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800"/>
        <w:gridCol w:w="415"/>
        <w:gridCol w:w="416"/>
        <w:gridCol w:w="237"/>
        <w:gridCol w:w="179"/>
        <w:gridCol w:w="135"/>
        <w:gridCol w:w="44"/>
        <w:gridCol w:w="71"/>
        <w:gridCol w:w="164"/>
        <w:gridCol w:w="70"/>
        <w:gridCol w:w="351"/>
        <w:gridCol w:w="55"/>
        <w:gridCol w:w="360"/>
        <w:gridCol w:w="293"/>
        <w:gridCol w:w="115"/>
        <w:gridCol w:w="90"/>
        <w:gridCol w:w="211"/>
        <w:gridCol w:w="55"/>
        <w:gridCol w:w="433"/>
        <w:gridCol w:w="249"/>
        <w:gridCol w:w="332"/>
        <w:gridCol w:w="216"/>
        <w:gridCol w:w="479"/>
        <w:gridCol w:w="209"/>
        <w:gridCol w:w="18"/>
        <w:gridCol w:w="147"/>
        <w:gridCol w:w="31"/>
        <w:gridCol w:w="300"/>
        <w:gridCol w:w="80"/>
        <w:gridCol w:w="201"/>
        <w:gridCol w:w="32"/>
        <w:gridCol w:w="316"/>
        <w:gridCol w:w="80"/>
        <w:gridCol w:w="1103"/>
      </w:tblGrid>
      <w:tr>
        <w:trPr/>
        <w:tc>
          <w:tcPr>
            <w:tcW w:w="1800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20" w:after="20"/>
              <w:jc w:val="left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18"/>
                <w:lang w:val="hr-HR" w:eastAsia="en-US" w:bidi="ar-SA"/>
              </w:rPr>
              <w:t>Sastavnica</w:t>
            </w:r>
          </w:p>
        </w:tc>
        <w:tc>
          <w:tcPr>
            <w:tcW w:w="5197" w:type="dxa"/>
            <w:gridSpan w:val="24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20" w:after="20"/>
              <w:jc w:val="left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18"/>
                <w:lang w:val="hr-HR" w:eastAsia="en-US" w:bidi="ar-SA"/>
              </w:rPr>
              <w:t>Sveučilište u Zadru</w:t>
            </w:r>
          </w:p>
        </w:tc>
        <w:tc>
          <w:tcPr>
            <w:tcW w:w="759" w:type="dxa"/>
            <w:gridSpan w:val="5"/>
            <w:tcBorders/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before="20" w:after="2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18"/>
                <w:lang w:val="hr-HR" w:eastAsia="en-US" w:bidi="ar-SA"/>
              </w:rPr>
              <w:t>akad. god.</w:t>
            </w:r>
          </w:p>
        </w:tc>
        <w:tc>
          <w:tcPr>
            <w:tcW w:w="1531" w:type="dxa"/>
            <w:gridSpan w:val="4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hr-HR" w:eastAsia="en-US" w:bidi="ar-SA"/>
              </w:rPr>
              <w:t>202</w:t>
            </w: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hr-HR" w:eastAsia="en-US" w:bidi="ar-SA"/>
              </w:rPr>
              <w:t>3</w:t>
            </w: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hr-HR" w:eastAsia="en-US" w:bidi="ar-SA"/>
              </w:rPr>
              <w:t>./202</w:t>
            </w: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hr-HR" w:eastAsia="en-US" w:bidi="ar-SA"/>
              </w:rPr>
              <w:t>4</w:t>
            </w: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hr-HR" w:eastAsia="en-US" w:bidi="ar-SA"/>
              </w:rPr>
              <w:t>.</w:t>
            </w:r>
          </w:p>
        </w:tc>
      </w:tr>
      <w:tr>
        <w:trPr>
          <w:trHeight w:val="178" w:hRule="atLeast"/>
        </w:trPr>
        <w:tc>
          <w:tcPr>
            <w:tcW w:w="1800" w:type="dxa"/>
            <w:tcBorders/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before="20" w:after="20"/>
              <w:jc w:val="left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18"/>
                <w:lang w:val="hr-HR" w:eastAsia="en-US" w:bidi="ar-SA"/>
              </w:rPr>
              <w:t>Naziv kolegija</w:t>
            </w:r>
          </w:p>
        </w:tc>
        <w:tc>
          <w:tcPr>
            <w:tcW w:w="5197" w:type="dxa"/>
            <w:gridSpan w:val="24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20" w:after="20"/>
              <w:jc w:val="left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18"/>
                <w:lang w:val="hr-HR" w:eastAsia="en-US" w:bidi="ar-SA"/>
              </w:rPr>
              <w:t>Metodika predmeta izbornog modula A1</w:t>
            </w:r>
          </w:p>
        </w:tc>
        <w:tc>
          <w:tcPr>
            <w:tcW w:w="759" w:type="dxa"/>
            <w:gridSpan w:val="5"/>
            <w:tcBorders/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before="20" w:after="20"/>
              <w:jc w:val="left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18"/>
                <w:lang w:val="hr-HR" w:eastAsia="en-US" w:bidi="ar-SA"/>
              </w:rPr>
              <w:t>ECTS</w:t>
            </w:r>
          </w:p>
        </w:tc>
        <w:tc>
          <w:tcPr>
            <w:tcW w:w="1531" w:type="dxa"/>
            <w:gridSpan w:val="4"/>
            <w:tcBorders/>
          </w:tcPr>
          <w:p>
            <w:pPr>
              <w:pStyle w:val="Normal"/>
              <w:widowControl w:val="false"/>
              <w:suppressAutoHyphens w:val="true"/>
              <w:spacing w:before="20" w:after="2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18"/>
                <w:lang w:val="hr-HR" w:eastAsia="en-US" w:bidi="ar-SA"/>
              </w:rPr>
              <w:t>3</w:t>
            </w:r>
          </w:p>
        </w:tc>
      </w:tr>
      <w:tr>
        <w:trPr/>
        <w:tc>
          <w:tcPr>
            <w:tcW w:w="1800" w:type="dxa"/>
            <w:tcBorders/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before="20" w:after="20"/>
              <w:jc w:val="left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18"/>
                <w:lang w:val="hr-HR" w:eastAsia="en-US" w:bidi="ar-SA"/>
              </w:rPr>
              <w:t>Naziv studija</w:t>
            </w:r>
          </w:p>
        </w:tc>
        <w:tc>
          <w:tcPr>
            <w:tcW w:w="7487" w:type="dxa"/>
            <w:gridSpan w:val="33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20" w:after="20"/>
              <w:jc w:val="left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18"/>
                <w:lang w:val="hr-HR" w:eastAsia="en-US" w:bidi="ar-SA"/>
              </w:rPr>
              <w:t>Integrirani preddiplomski i diplomski sveučilišni studij za učitelje</w:t>
            </w:r>
          </w:p>
        </w:tc>
      </w:tr>
      <w:tr>
        <w:trPr/>
        <w:tc>
          <w:tcPr>
            <w:tcW w:w="1800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20" w:after="20"/>
              <w:jc w:val="left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18"/>
                <w:lang w:val="hr-HR" w:eastAsia="en-US" w:bidi="ar-SA"/>
              </w:rPr>
              <w:t>Razina studija</w:t>
            </w:r>
          </w:p>
        </w:tc>
        <w:tc>
          <w:tcPr>
            <w:tcW w:w="1731" w:type="dxa"/>
            <w:gridSpan w:val="9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218" w:leader="none"/>
              </w:tabs>
              <w:suppressAutoHyphens w:val="true"/>
              <w:spacing w:before="20" w:after="2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id w:val="1215235233"/>
              </w:sdtPr>
              <w:sdtContent>
                <w:r>
                  <w:rPr>
                    <w:rFonts w:eastAsia="MS Gothic" w:cs="Segoe UI Symbol" w:ascii="Segoe UI Symbol" w:hAnsi="Segoe UI Symbol"/>
                    <w:kern w:val="0"/>
                    <w:sz w:val="18"/>
                    <w:szCs w:val="18"/>
                    <w:lang w:val="hr-HR" w:eastAsia="en-US" w:bidi="ar-SA"/>
                  </w:rPr>
                  <w:t>☐</w:t>
                </w:r>
              </w:sdtContent>
            </w:sdt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hr-HR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hr-HR" w:eastAsia="en-US" w:bidi="ar-SA"/>
              </w:rPr>
              <w:t>preddiplomski</w:t>
            </w:r>
          </w:p>
        </w:tc>
        <w:tc>
          <w:tcPr>
            <w:tcW w:w="1530" w:type="dxa"/>
            <w:gridSpan w:val="8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218" w:leader="none"/>
              </w:tabs>
              <w:suppressAutoHyphens w:val="true"/>
              <w:spacing w:before="20" w:after="2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id w:val="1533327686"/>
              </w:sdtPr>
              <w:sdtContent>
                <w:r>
                  <w:rPr>
                    <w:rFonts w:eastAsia="MS Gothic" w:cs="Segoe UI Symbol" w:ascii="Segoe UI Symbol" w:hAnsi="Segoe UI Symbol"/>
                    <w:kern w:val="0"/>
                    <w:sz w:val="18"/>
                    <w:szCs w:val="18"/>
                    <w:lang w:val="hr-HR" w:eastAsia="en-US" w:bidi="ar-SA"/>
                  </w:rPr>
                  <w:t>☐</w:t>
                </w:r>
              </w:sdtContent>
            </w:sdt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hr-HR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hr-HR" w:eastAsia="en-US" w:bidi="ar-SA"/>
              </w:rPr>
              <w:t>diplomski</w:t>
            </w:r>
          </w:p>
        </w:tc>
        <w:tc>
          <w:tcPr>
            <w:tcW w:w="1936" w:type="dxa"/>
            <w:gridSpan w:val="7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218" w:leader="none"/>
              </w:tabs>
              <w:suppressAutoHyphens w:val="true"/>
              <w:spacing w:before="20" w:after="2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id w:val="1989627390"/>
              </w:sdtPr>
              <w:sdtContent>
                <w:r>
                  <w:rPr>
                    <w:rFonts w:eastAsia="MS Gothic" w:cs="Segoe UI Symbol" w:ascii="Segoe UI Symbol" w:hAnsi="Segoe UI Symbol"/>
                    <w:kern w:val="0"/>
                    <w:sz w:val="18"/>
                    <w:szCs w:val="18"/>
                    <w:lang w:val="hr-HR" w:eastAsia="en-US" w:bidi="ar-SA"/>
                  </w:rPr>
                  <w:t>☒</w:t>
                </w:r>
              </w:sdtContent>
            </w:sdt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hr-HR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hr-HR" w:eastAsia="en-US" w:bidi="ar-SA"/>
              </w:rPr>
              <w:t>integrirani</w:t>
            </w:r>
          </w:p>
        </w:tc>
        <w:tc>
          <w:tcPr>
            <w:tcW w:w="2290" w:type="dxa"/>
            <w:gridSpan w:val="9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before="20" w:after="2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id w:val="142153661"/>
              </w:sdtPr>
              <w:sdtContent>
                <w:r>
                  <w:rPr>
                    <w:rFonts w:eastAsia="MS Gothic" w:cs="Segoe UI Symbol" w:ascii="Segoe UI Symbol" w:hAnsi="Segoe UI Symbol"/>
                    <w:kern w:val="0"/>
                    <w:sz w:val="18"/>
                    <w:szCs w:val="18"/>
                    <w:lang w:val="hr-HR" w:eastAsia="en-US" w:bidi="ar-SA"/>
                  </w:rPr>
                  <w:t>☐</w:t>
                </w:r>
              </w:sdtContent>
            </w:sdt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hr-HR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hr-HR" w:eastAsia="en-US" w:bidi="ar-SA"/>
              </w:rPr>
              <w:t>poslijediplomski</w:t>
            </w:r>
          </w:p>
        </w:tc>
      </w:tr>
      <w:tr>
        <w:trPr/>
        <w:tc>
          <w:tcPr>
            <w:tcW w:w="1800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20" w:after="20"/>
              <w:jc w:val="left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18"/>
                <w:lang w:val="hr-HR" w:eastAsia="en-US" w:bidi="ar-SA"/>
              </w:rPr>
              <w:t>Godina studija</w:t>
            </w:r>
          </w:p>
        </w:tc>
        <w:tc>
          <w:tcPr>
            <w:tcW w:w="1497" w:type="dxa"/>
            <w:gridSpan w:val="7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218" w:leader="none"/>
              </w:tabs>
              <w:suppressAutoHyphens w:val="true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id w:val="145714348"/>
              </w:sdtPr>
              <w:sdtContent>
                <w:r>
                  <w:rPr>
                    <w:rFonts w:eastAsia="MS Gothic" w:cs="Segoe UI Symbol" w:ascii="Segoe UI Symbol" w:hAnsi="Segoe UI Symbol"/>
                    <w:kern w:val="0"/>
                    <w:sz w:val="18"/>
                    <w:szCs w:val="18"/>
                    <w:lang w:val="hr-HR" w:eastAsia="en-US" w:bidi="ar-SA"/>
                  </w:rPr>
                  <w:t>☐</w:t>
                </w:r>
              </w:sdtContent>
            </w:sdt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hr-HR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hr-HR" w:eastAsia="en-US" w:bidi="ar-SA"/>
              </w:rPr>
              <w:t>1.</w:t>
            </w:r>
          </w:p>
        </w:tc>
        <w:tc>
          <w:tcPr>
            <w:tcW w:w="1498" w:type="dxa"/>
            <w:gridSpan w:val="8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218" w:leader="none"/>
              </w:tabs>
              <w:suppressAutoHyphens w:val="true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id w:val="177812305"/>
              </w:sdtPr>
              <w:sdtContent>
                <w:r>
                  <w:rPr>
                    <w:rFonts w:eastAsia="MS Gothic" w:cs="Segoe UI Symbol" w:ascii="Segoe UI Symbol" w:hAnsi="Segoe UI Symbol"/>
                    <w:kern w:val="0"/>
                    <w:sz w:val="18"/>
                    <w:szCs w:val="18"/>
                    <w:lang w:val="hr-HR" w:eastAsia="en-US" w:bidi="ar-SA"/>
                  </w:rPr>
                  <w:t>☐</w:t>
                </w:r>
              </w:sdtContent>
            </w:sdt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hr-HR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hr-HR" w:eastAsia="en-US" w:bidi="ar-SA"/>
              </w:rPr>
              <w:t>2.</w:t>
            </w:r>
          </w:p>
        </w:tc>
        <w:tc>
          <w:tcPr>
            <w:tcW w:w="1496" w:type="dxa"/>
            <w:gridSpan w:val="6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218" w:leader="none"/>
              </w:tabs>
              <w:suppressAutoHyphens w:val="true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id w:val="94780283"/>
              </w:sdtPr>
              <w:sdtContent>
                <w:r>
                  <w:rPr>
                    <w:rFonts w:eastAsia="MS Gothic" w:cs="Segoe UI Symbol" w:ascii="Segoe UI Symbol" w:hAnsi="Segoe UI Symbol"/>
                    <w:kern w:val="0"/>
                    <w:sz w:val="18"/>
                    <w:szCs w:val="18"/>
                    <w:lang w:val="hr-HR" w:eastAsia="en-US" w:bidi="ar-SA"/>
                  </w:rPr>
                  <w:t>☐</w:t>
                </w:r>
              </w:sdtContent>
            </w:sdt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hr-HR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hr-HR" w:eastAsia="en-US" w:bidi="ar-SA"/>
              </w:rPr>
              <w:t>3.</w:t>
            </w:r>
          </w:p>
        </w:tc>
        <w:tc>
          <w:tcPr>
            <w:tcW w:w="1497" w:type="dxa"/>
            <w:gridSpan w:val="9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218" w:leader="none"/>
              </w:tabs>
              <w:suppressAutoHyphens w:val="true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id w:val="1898715378"/>
              </w:sdtPr>
              <w:sdtContent>
                <w:r>
                  <w:rPr>
                    <w:rFonts w:eastAsia="MS Gothic" w:cs="Segoe UI Symbol" w:ascii="Segoe UI Symbol" w:hAnsi="Segoe UI Symbol"/>
                    <w:kern w:val="0"/>
                    <w:sz w:val="18"/>
                    <w:szCs w:val="18"/>
                    <w:lang w:val="hr-HR" w:eastAsia="en-US" w:bidi="ar-SA"/>
                  </w:rPr>
                  <w:t>☐</w:t>
                </w:r>
                <w:r>
                  <w:rPr>
                    <w:rFonts w:eastAsia="Calibri" w:cs="Times New Roman" w:ascii="Times New Roman" w:hAnsi="Times New Roman"/>
                    <w:kern w:val="0"/>
                    <w:sz w:val="18"/>
                    <w:szCs w:val="18"/>
                    <w:lang w:val="hr-HR" w:eastAsia="en-US" w:bidi="ar-SA"/>
                  </w:rPr>
                  <w:t>4.</w:t>
                </w:r>
              </w:sdtContent>
            </w:sdt>
          </w:p>
        </w:tc>
        <w:tc>
          <w:tcPr>
            <w:tcW w:w="1499" w:type="dxa"/>
            <w:gridSpan w:val="3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218" w:leader="none"/>
              </w:tabs>
              <w:suppressAutoHyphens w:val="true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id w:val="1505820612"/>
              </w:sdtPr>
              <w:sdtContent>
                <w:r>
                  <w:rPr>
                    <w:rFonts w:eastAsia="MS Gothic" w:cs="Segoe UI Symbol" w:ascii="Segoe UI Symbol" w:hAnsi="Segoe UI Symbol"/>
                    <w:kern w:val="0"/>
                    <w:sz w:val="18"/>
                    <w:szCs w:val="18"/>
                    <w:lang w:val="hr-HR" w:eastAsia="en-US" w:bidi="ar-SA"/>
                  </w:rPr>
                  <w:t>☒</w:t>
                </w:r>
              </w:sdtContent>
            </w:sdt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hr-HR" w:eastAsia="en-US" w:bidi="ar-SA"/>
              </w:rPr>
              <w:t xml:space="preserve">  </w:t>
            </w: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hr-HR" w:eastAsia="en-US" w:bidi="ar-SA"/>
              </w:rPr>
              <w:t>5.</w:t>
            </w:r>
          </w:p>
        </w:tc>
      </w:tr>
      <w:tr>
        <w:trPr/>
        <w:tc>
          <w:tcPr>
            <w:tcW w:w="1800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20" w:after="20"/>
              <w:jc w:val="left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18"/>
                <w:lang w:val="hr-HR" w:eastAsia="en-US" w:bidi="ar-SA"/>
              </w:rPr>
              <w:t>Semestar</w:t>
            </w:r>
          </w:p>
        </w:tc>
        <w:tc>
          <w:tcPr>
            <w:tcW w:w="1068" w:type="dxa"/>
            <w:gridSpan w:val="3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218" w:leader="none"/>
              </w:tabs>
              <w:suppressAutoHyphens w:val="true"/>
              <w:spacing w:before="20" w:after="2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id w:val="295263034"/>
              </w:sdtPr>
              <w:sdtContent>
                <w:r>
                  <w:rPr>
                    <w:rFonts w:eastAsia="MS Gothic" w:cs="Segoe UI Symbol" w:ascii="Segoe UI Symbol" w:hAnsi="Segoe UI Symbol"/>
                    <w:kern w:val="0"/>
                    <w:sz w:val="18"/>
                    <w:szCs w:val="18"/>
                    <w:lang w:val="hr-HR" w:eastAsia="en-US" w:bidi="ar-SA"/>
                  </w:rPr>
                  <w:t>☒</w:t>
                </w:r>
              </w:sdtContent>
            </w:sdt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hr-HR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hr-HR" w:eastAsia="en-US" w:bidi="ar-SA"/>
              </w:rPr>
              <w:t>zimski</w:t>
            </w:r>
          </w:p>
          <w:p>
            <w:pPr>
              <w:pStyle w:val="Normal"/>
              <w:widowControl w:val="false"/>
              <w:suppressAutoHyphens w:val="true"/>
              <w:spacing w:before="20" w:after="20"/>
              <w:jc w:val="left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sdt>
              <w:sdtPr>
                <w:id w:val="788828045"/>
              </w:sdtPr>
              <w:sdtContent>
                <w:r>
                  <w:rPr>
                    <w:rFonts w:eastAsia="MS Gothic" w:cs="Segoe UI Symbol" w:ascii="Segoe UI Symbol" w:hAnsi="Segoe UI Symbol"/>
                    <w:kern w:val="0"/>
                    <w:sz w:val="18"/>
                    <w:szCs w:val="18"/>
                    <w:lang w:val="hr-HR" w:eastAsia="en-US" w:bidi="ar-SA"/>
                  </w:rPr>
                  <w:t>☐</w:t>
                </w:r>
              </w:sdtContent>
            </w:sdt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hr-HR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hr-HR" w:eastAsia="en-US" w:bidi="ar-SA"/>
              </w:rPr>
              <w:t>ljetni</w:t>
            </w:r>
          </w:p>
        </w:tc>
        <w:tc>
          <w:tcPr>
            <w:tcW w:w="1069" w:type="dxa"/>
            <w:gridSpan w:val="8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218" w:leader="none"/>
              </w:tabs>
              <w:suppressAutoHyphens w:val="true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id w:val="929352431"/>
              </w:sdtPr>
              <w:sdtContent>
                <w:r>
                  <w:rPr>
                    <w:rFonts w:eastAsia="MS Gothic" w:cs="Segoe UI Symbol" w:ascii="Segoe UI Symbol" w:hAnsi="Segoe UI Symbol"/>
                    <w:kern w:val="0"/>
                    <w:sz w:val="18"/>
                    <w:szCs w:val="18"/>
                    <w:lang w:val="hr-HR" w:eastAsia="en-US" w:bidi="ar-SA"/>
                  </w:rPr>
                  <w:t>☒</w:t>
                </w:r>
              </w:sdtContent>
            </w:sdt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hr-HR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hr-HR" w:eastAsia="en-US" w:bidi="ar-SA"/>
              </w:rPr>
              <w:t>I.</w:t>
            </w:r>
          </w:p>
        </w:tc>
        <w:tc>
          <w:tcPr>
            <w:tcW w:w="1069" w:type="dxa"/>
            <w:gridSpan w:val="5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218" w:leader="none"/>
              </w:tabs>
              <w:suppressAutoHyphens w:val="true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id w:val="627191488"/>
              </w:sdtPr>
              <w:sdtContent>
                <w:r>
                  <w:rPr>
                    <w:rFonts w:eastAsia="MS Gothic" w:cs="Segoe UI Symbol" w:ascii="Segoe UI Symbol" w:hAnsi="Segoe UI Symbol"/>
                    <w:kern w:val="0"/>
                    <w:sz w:val="18"/>
                    <w:szCs w:val="18"/>
                    <w:lang w:val="hr-HR" w:eastAsia="en-US" w:bidi="ar-SA"/>
                  </w:rPr>
                  <w:t>☐</w:t>
                </w:r>
              </w:sdtContent>
            </w:sdt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hr-HR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hr-HR" w:eastAsia="en-US" w:bidi="ar-SA"/>
              </w:rPr>
              <w:t>II.</w:t>
            </w:r>
          </w:p>
        </w:tc>
        <w:tc>
          <w:tcPr>
            <w:tcW w:w="1069" w:type="dxa"/>
            <w:gridSpan w:val="4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218" w:leader="none"/>
              </w:tabs>
              <w:suppressAutoHyphens w:val="true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id w:val="1405210796"/>
              </w:sdtPr>
              <w:sdtContent>
                <w:r>
                  <w:rPr>
                    <w:rFonts w:eastAsia="MS Gothic" w:cs="Segoe UI Symbol" w:ascii="Segoe UI Symbol" w:hAnsi="Segoe UI Symbol"/>
                    <w:kern w:val="0"/>
                    <w:sz w:val="18"/>
                    <w:szCs w:val="18"/>
                    <w:lang w:val="hr-HR" w:eastAsia="en-US" w:bidi="ar-SA"/>
                  </w:rPr>
                  <w:t>☐</w:t>
                </w:r>
              </w:sdtContent>
            </w:sdt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hr-HR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hr-HR" w:eastAsia="en-US" w:bidi="ar-SA"/>
              </w:rPr>
              <w:t>III.</w:t>
            </w:r>
          </w:p>
        </w:tc>
        <w:tc>
          <w:tcPr>
            <w:tcW w:w="1069" w:type="dxa"/>
            <w:gridSpan w:val="5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218" w:leader="none"/>
              </w:tabs>
              <w:suppressAutoHyphens w:val="true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id w:val="1746612002"/>
              </w:sdtPr>
              <w:sdtContent>
                <w:r>
                  <w:rPr>
                    <w:rFonts w:eastAsia="MS Gothic" w:cs="Segoe UI Symbol" w:ascii="Segoe UI Symbol" w:hAnsi="Segoe UI Symbol"/>
                    <w:kern w:val="0"/>
                    <w:sz w:val="18"/>
                    <w:szCs w:val="18"/>
                    <w:lang w:val="hr-HR" w:eastAsia="en-US" w:bidi="ar-SA"/>
                  </w:rPr>
                  <w:t>☐</w:t>
                </w:r>
              </w:sdtContent>
            </w:sdt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hr-HR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hr-HR" w:eastAsia="en-US" w:bidi="ar-SA"/>
              </w:rPr>
              <w:t>IV.</w:t>
            </w:r>
          </w:p>
        </w:tc>
        <w:tc>
          <w:tcPr>
            <w:tcW w:w="1040" w:type="dxa"/>
            <w:gridSpan w:val="7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218" w:leader="none"/>
              </w:tabs>
              <w:suppressAutoHyphens w:val="true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id w:val="956009481"/>
              </w:sdtPr>
              <w:sdtContent>
                <w:r>
                  <w:rPr>
                    <w:rFonts w:eastAsia="MS Gothic" w:cs="Segoe UI Symbol" w:ascii="Segoe UI Symbol" w:hAnsi="Segoe UI Symbol"/>
                    <w:kern w:val="0"/>
                    <w:sz w:val="18"/>
                    <w:szCs w:val="18"/>
                    <w:lang w:val="hr-HR" w:eastAsia="en-US" w:bidi="ar-SA"/>
                  </w:rPr>
                  <w:t>☐</w:t>
                </w:r>
              </w:sdtContent>
            </w:sdt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hr-HR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hr-HR" w:eastAsia="en-US" w:bidi="ar-SA"/>
              </w:rPr>
              <w:t>V.</w:t>
            </w:r>
          </w:p>
        </w:tc>
        <w:tc>
          <w:tcPr>
            <w:tcW w:w="1103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218" w:leader="none"/>
              </w:tabs>
              <w:suppressAutoHyphens w:val="true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id w:val="1946020346"/>
              </w:sdtPr>
              <w:sdtContent>
                <w:r>
                  <w:rPr>
                    <w:rFonts w:eastAsia="MS Gothic" w:cs="Segoe UI Symbol" w:ascii="Segoe UI Symbol" w:hAnsi="Segoe UI Symbol"/>
                    <w:kern w:val="0"/>
                    <w:sz w:val="18"/>
                    <w:szCs w:val="18"/>
                    <w:lang w:val="hr-HR" w:eastAsia="en-US" w:bidi="ar-SA"/>
                  </w:rPr>
                  <w:t>☐</w:t>
                </w:r>
              </w:sdtContent>
            </w:sdt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hr-HR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hr-HR" w:eastAsia="en-US" w:bidi="ar-SA"/>
              </w:rPr>
              <w:t>VI.</w:t>
            </w:r>
          </w:p>
        </w:tc>
      </w:tr>
      <w:tr>
        <w:trPr/>
        <w:tc>
          <w:tcPr>
            <w:tcW w:w="1800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20" w:after="20"/>
              <w:jc w:val="left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18"/>
                <w:lang w:val="hr-HR" w:eastAsia="en-US" w:bidi="ar-SA"/>
              </w:rPr>
              <w:t>Status kolegija</w:t>
            </w:r>
          </w:p>
        </w:tc>
        <w:tc>
          <w:tcPr>
            <w:tcW w:w="1068" w:type="dxa"/>
            <w:gridSpan w:val="3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218" w:leader="none"/>
              </w:tabs>
              <w:suppressAutoHyphens w:val="true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hr-HR" w:eastAsia="en-US" w:bidi="ar-SA"/>
              </w:rPr>
              <w:t xml:space="preserve"> </w:t>
            </w:r>
            <w:sdt>
              <w:sdtPr>
                <w:id w:val="824281380"/>
              </w:sdtPr>
              <w:sdtContent>
                <w:r>
                  <w:rPr>
                    <w:rFonts w:eastAsia="MS Gothic" w:cs="Segoe UI Symbol" w:ascii="Segoe UI Symbol" w:hAnsi="Segoe UI Symbol"/>
                    <w:kern w:val="0"/>
                    <w:sz w:val="18"/>
                    <w:szCs w:val="18"/>
                    <w:lang w:val="hr-HR" w:eastAsia="en-US" w:bidi="ar-SA"/>
                  </w:rPr>
                  <w:t>☐</w:t>
                </w:r>
              </w:sdtContent>
            </w:sdt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hr-HR" w:eastAsia="en-US" w:bidi="ar-SA"/>
              </w:rPr>
              <w:t>obvezni</w:t>
            </w: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hr-HR" w:eastAsia="en-US" w:bidi="ar-SA"/>
              </w:rPr>
              <w:t xml:space="preserve"> kolegij</w:t>
            </w:r>
          </w:p>
        </w:tc>
        <w:tc>
          <w:tcPr>
            <w:tcW w:w="1069" w:type="dxa"/>
            <w:gridSpan w:val="8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20" w:after="2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sdt>
              <w:sdtPr>
                <w:id w:val="427361282"/>
              </w:sdtPr>
              <w:sdtContent>
                <w:r>
                  <w:rPr>
                    <w:rFonts w:eastAsia="MS Gothic" w:cs="Segoe UI Symbol" w:ascii="Segoe UI Symbol" w:hAnsi="Segoe UI Symbol"/>
                    <w:kern w:val="0"/>
                    <w:sz w:val="18"/>
                    <w:szCs w:val="18"/>
                    <w:lang w:val="hr-HR" w:eastAsia="en-US" w:bidi="ar-SA"/>
                  </w:rPr>
                  <w:t>☒</w:t>
                </w:r>
              </w:sdtContent>
            </w:sdt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hr-HR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hr-HR" w:eastAsia="en-US" w:bidi="ar-SA"/>
              </w:rPr>
              <w:t>izborni kolegij</w:t>
            </w:r>
          </w:p>
        </w:tc>
        <w:tc>
          <w:tcPr>
            <w:tcW w:w="2833" w:type="dxa"/>
            <w:gridSpan w:val="11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218" w:leader="none"/>
              </w:tabs>
              <w:suppressAutoHyphens w:val="true"/>
              <w:spacing w:before="20" w:after="2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id w:val="1717851924"/>
              </w:sdtPr>
              <w:sdtContent>
                <w:r>
                  <w:rPr>
                    <w:rFonts w:eastAsia="MS Gothic" w:cs="Segoe UI Symbol" w:ascii="Segoe UI Symbol" w:hAnsi="Segoe UI Symbol"/>
                    <w:kern w:val="0"/>
                    <w:sz w:val="18"/>
                    <w:szCs w:val="18"/>
                    <w:lang w:val="hr-HR" w:eastAsia="en-US" w:bidi="ar-SA"/>
                  </w:rPr>
                  <w:t>☐</w:t>
                </w:r>
              </w:sdtContent>
            </w:sdt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hr-HR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hr-HR" w:eastAsia="en-US" w:bidi="ar-SA"/>
              </w:rPr>
              <w:t>izborni kolegij koji se nudi studentima drugih odjela</w:t>
            </w:r>
          </w:p>
        </w:tc>
        <w:tc>
          <w:tcPr>
            <w:tcW w:w="1414" w:type="dxa"/>
            <w:gridSpan w:val="10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218" w:leader="none"/>
              </w:tabs>
              <w:suppressAutoHyphens w:val="true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18"/>
                <w:lang w:val="hr-HR" w:eastAsia="en-US" w:bidi="ar-SA"/>
              </w:rPr>
              <w:t>Nastavničke kompetencije</w:t>
            </w:r>
          </w:p>
        </w:tc>
        <w:tc>
          <w:tcPr>
            <w:tcW w:w="1103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218" w:leader="none"/>
              </w:tabs>
              <w:suppressAutoHyphens w:val="true"/>
              <w:spacing w:before="20" w:after="2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id w:val="1736506771"/>
              </w:sdtPr>
              <w:sdtContent>
                <w:r>
                  <w:rPr>
                    <w:rFonts w:eastAsia="MS Gothic" w:cs="Segoe UI Symbol" w:ascii="Segoe UI Symbol" w:hAnsi="Segoe UI Symbol"/>
                    <w:kern w:val="0"/>
                    <w:sz w:val="18"/>
                    <w:szCs w:val="18"/>
                    <w:lang w:val="hr-HR" w:eastAsia="en-US" w:bidi="ar-SA"/>
                  </w:rPr>
                  <w:t>☒</w:t>
                </w:r>
              </w:sdtContent>
            </w:sdt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hr-HR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hr-HR" w:eastAsia="en-US" w:bidi="ar-SA"/>
              </w:rPr>
              <w:t>DA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218" w:leader="none"/>
              </w:tabs>
              <w:suppressAutoHyphens w:val="true"/>
              <w:spacing w:before="20" w:after="2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id w:val="16079115"/>
              </w:sdtPr>
              <w:sdtContent>
                <w:r>
                  <w:rPr>
                    <w:rFonts w:eastAsia="MS Gothic" w:cs="Segoe UI Symbol" w:ascii="Segoe UI Symbol" w:hAnsi="Segoe UI Symbol"/>
                    <w:kern w:val="0"/>
                    <w:sz w:val="18"/>
                    <w:szCs w:val="18"/>
                    <w:lang w:val="hr-HR" w:eastAsia="en-US" w:bidi="ar-SA"/>
                  </w:rPr>
                  <w:t>☐</w:t>
                </w:r>
              </w:sdtContent>
            </w:sdt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hr-HR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hr-HR" w:eastAsia="en-US" w:bidi="ar-SA"/>
              </w:rPr>
              <w:t>NE</w:t>
            </w:r>
          </w:p>
        </w:tc>
      </w:tr>
      <w:tr>
        <w:trPr/>
        <w:tc>
          <w:tcPr>
            <w:tcW w:w="1800" w:type="dxa"/>
            <w:tcBorders/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before="20" w:after="20"/>
              <w:jc w:val="left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18"/>
                <w:lang w:val="hr-HR" w:eastAsia="en-US" w:bidi="ar-SA"/>
              </w:rPr>
              <w:t>Opterećenje</w:t>
            </w:r>
          </w:p>
        </w:tc>
        <w:tc>
          <w:tcPr>
            <w:tcW w:w="415" w:type="dxa"/>
            <w:tcBorders/>
          </w:tcPr>
          <w:p>
            <w:pPr>
              <w:pStyle w:val="Normal"/>
              <w:widowControl w:val="false"/>
              <w:suppressAutoHyphens w:val="true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hr-HR" w:eastAsia="en-US" w:bidi="ar-SA"/>
              </w:rPr>
              <w:t>15</w:t>
            </w:r>
          </w:p>
        </w:tc>
        <w:tc>
          <w:tcPr>
            <w:tcW w:w="416" w:type="dxa"/>
            <w:tcBorders/>
          </w:tcPr>
          <w:p>
            <w:pPr>
              <w:pStyle w:val="Normal"/>
              <w:widowControl w:val="false"/>
              <w:suppressAutoHyphens w:val="true"/>
              <w:spacing w:before="20" w:after="2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18"/>
                <w:lang w:val="hr-HR" w:eastAsia="en-US" w:bidi="ar-SA"/>
              </w:rPr>
              <w:t>P</w:t>
            </w:r>
          </w:p>
        </w:tc>
        <w:tc>
          <w:tcPr>
            <w:tcW w:w="416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hr-HR" w:eastAsia="en-US" w:bidi="ar-SA"/>
              </w:rPr>
              <w:t>15</w:t>
            </w:r>
          </w:p>
        </w:tc>
        <w:tc>
          <w:tcPr>
            <w:tcW w:w="414" w:type="dxa"/>
            <w:gridSpan w:val="4"/>
            <w:tcBorders/>
          </w:tcPr>
          <w:p>
            <w:pPr>
              <w:pStyle w:val="Normal"/>
              <w:widowControl w:val="false"/>
              <w:suppressAutoHyphens w:val="true"/>
              <w:spacing w:before="20" w:after="2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18"/>
                <w:lang w:val="hr-HR" w:eastAsia="en-US" w:bidi="ar-SA"/>
              </w:rPr>
              <w:t>S</w:t>
            </w:r>
          </w:p>
        </w:tc>
        <w:tc>
          <w:tcPr>
            <w:tcW w:w="421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415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20" w:after="2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18"/>
                <w:lang w:val="hr-HR" w:eastAsia="en-US" w:bidi="ar-SA"/>
              </w:rPr>
              <w:t>V</w:t>
            </w:r>
          </w:p>
        </w:tc>
        <w:tc>
          <w:tcPr>
            <w:tcW w:w="3178" w:type="dxa"/>
            <w:gridSpan w:val="15"/>
            <w:tcBorders/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before="20" w:after="20"/>
              <w:jc w:val="right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18"/>
                <w:lang w:val="hr-HR" w:eastAsia="en-US" w:bidi="ar-SA"/>
              </w:rPr>
              <w:t>Mrežne stranice kolegija</w:t>
            </w:r>
          </w:p>
        </w:tc>
        <w:tc>
          <w:tcPr>
            <w:tcW w:w="1812" w:type="dxa"/>
            <w:gridSpan w:val="6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218" w:leader="none"/>
              </w:tabs>
              <w:suppressAutoHyphens w:val="true"/>
              <w:spacing w:before="20" w:after="20"/>
              <w:jc w:val="left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sdt>
              <w:sdtPr>
                <w:id w:val="886610266"/>
              </w:sdtPr>
              <w:sdtContent>
                <w:r>
                  <w:rPr>
                    <w:rFonts w:eastAsia="MS Gothic" w:cs="Segoe UI Symbol" w:ascii="Segoe UI Symbol" w:hAnsi="Segoe UI Symbol"/>
                    <w:kern w:val="0"/>
                    <w:sz w:val="18"/>
                    <w:szCs w:val="18"/>
                    <w:lang w:val="hr-HR" w:eastAsia="en-US" w:bidi="ar-SA"/>
                  </w:rPr>
                  <w:t>☒</w:t>
                </w:r>
              </w:sdtContent>
            </w:sdt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hr-HR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hr-HR" w:eastAsia="en-US" w:bidi="ar-SA"/>
              </w:rPr>
              <w:t xml:space="preserve">DA </w:t>
            </w:r>
            <w:sdt>
              <w:sdtPr>
                <w:id w:val="807574885"/>
              </w:sdtPr>
              <w:sdtContent>
                <w:r>
                  <w:rPr>
                    <w:rFonts w:eastAsia="MS Gothic" w:cs="Segoe UI Symbol" w:ascii="Segoe UI Symbol" w:hAnsi="Segoe UI Symbol"/>
                    <w:kern w:val="0"/>
                    <w:sz w:val="18"/>
                    <w:szCs w:val="18"/>
                    <w:lang w:val="hr-HR" w:eastAsia="en-US" w:bidi="ar-SA"/>
                  </w:rPr>
                  <w:t>☐</w:t>
                </w:r>
              </w:sdtContent>
            </w:sdt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hr-HR" w:eastAsia="en-US" w:bidi="ar-SA"/>
              </w:rPr>
              <w:t xml:space="preserve"> NE</w:t>
            </w:r>
          </w:p>
        </w:tc>
      </w:tr>
      <w:tr>
        <w:trPr/>
        <w:tc>
          <w:tcPr>
            <w:tcW w:w="1800" w:type="dxa"/>
            <w:tcBorders/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before="20" w:after="20"/>
              <w:jc w:val="left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18"/>
                <w:lang w:val="hr-HR" w:eastAsia="en-US" w:bidi="ar-SA"/>
              </w:rPr>
              <w:t>Mjesto i vrijeme izvođenja nastave</w:t>
            </w:r>
          </w:p>
        </w:tc>
        <w:tc>
          <w:tcPr>
            <w:tcW w:w="2497" w:type="dxa"/>
            <w:gridSpan w:val="12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20" w:after="2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hr-HR" w:eastAsia="en-US" w:bidi="ar-SA"/>
              </w:rPr>
              <w:t>predavanje i seminari - učionica 107</w:t>
            </w:r>
          </w:p>
        </w:tc>
        <w:tc>
          <w:tcPr>
            <w:tcW w:w="2473" w:type="dxa"/>
            <w:gridSpan w:val="10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20" w:after="2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18"/>
                <w:lang w:val="hr-HR" w:eastAsia="en-US" w:bidi="ar-SA"/>
              </w:rPr>
              <w:t>Jezik/jezici na kojima se izvodi kolegij</w:t>
            </w:r>
          </w:p>
        </w:tc>
        <w:tc>
          <w:tcPr>
            <w:tcW w:w="2517" w:type="dxa"/>
            <w:gridSpan w:val="11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20" w:after="2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hr-HR" w:eastAsia="en-US" w:bidi="ar-SA"/>
              </w:rPr>
              <w:t>hrvatski</w:t>
            </w:r>
          </w:p>
        </w:tc>
      </w:tr>
      <w:tr>
        <w:trPr/>
        <w:tc>
          <w:tcPr>
            <w:tcW w:w="1800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20" w:after="20"/>
              <w:jc w:val="left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18"/>
                <w:lang w:val="hr-HR" w:eastAsia="en-US" w:bidi="ar-SA"/>
              </w:rPr>
              <w:t>Početak nastave</w:t>
            </w:r>
          </w:p>
        </w:tc>
        <w:tc>
          <w:tcPr>
            <w:tcW w:w="2497" w:type="dxa"/>
            <w:gridSpan w:val="12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218" w:leader="none"/>
              </w:tabs>
              <w:suppressAutoHyphens w:val="true"/>
              <w:spacing w:before="20" w:after="2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hr-HR" w:eastAsia="en-US" w:bidi="ar-SA"/>
              </w:rPr>
              <w:t>3</w:t>
            </w: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hr-HR" w:eastAsia="en-US" w:bidi="ar-SA"/>
              </w:rPr>
              <w:t>.10.202</w:t>
            </w: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hr-HR" w:eastAsia="en-US" w:bidi="ar-SA"/>
              </w:rPr>
              <w:t>3</w:t>
            </w: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hr-HR" w:eastAsia="en-US" w:bidi="ar-SA"/>
              </w:rPr>
              <w:t>.</w:t>
            </w:r>
          </w:p>
        </w:tc>
        <w:tc>
          <w:tcPr>
            <w:tcW w:w="2473" w:type="dxa"/>
            <w:gridSpan w:val="10"/>
            <w:tcBorders/>
            <w:shd w:color="auto" w:fill="F2F2F2" w:themeFill="background1" w:themeFillShade="f2" w:val="clear"/>
          </w:tcPr>
          <w:p>
            <w:pPr>
              <w:pStyle w:val="Normal"/>
              <w:widowControl w:val="false"/>
              <w:tabs>
                <w:tab w:val="clear" w:pos="708"/>
                <w:tab w:val="left" w:pos="1218" w:leader="none"/>
              </w:tabs>
              <w:suppressAutoHyphens w:val="true"/>
              <w:spacing w:before="20" w:after="20"/>
              <w:jc w:val="right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18"/>
                <w:lang w:val="hr-HR" w:eastAsia="en-US" w:bidi="ar-SA"/>
              </w:rPr>
              <w:t>Završetak nastave</w:t>
            </w:r>
          </w:p>
        </w:tc>
        <w:tc>
          <w:tcPr>
            <w:tcW w:w="2517" w:type="dxa"/>
            <w:gridSpan w:val="11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218" w:leader="none"/>
              </w:tabs>
              <w:suppressAutoHyphens w:val="true"/>
              <w:spacing w:before="20" w:after="2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hr-HR" w:eastAsia="en-US" w:bidi="ar-SA"/>
              </w:rPr>
              <w:t>27.1.202</w:t>
            </w:r>
            <w:bookmarkStart w:id="0" w:name="_GoBack"/>
            <w:bookmarkEnd w:id="0"/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hr-HR" w:eastAsia="en-US" w:bidi="ar-SA"/>
              </w:rPr>
              <w:t>4</w:t>
            </w: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hr-HR" w:eastAsia="en-US" w:bidi="ar-SA"/>
              </w:rPr>
              <w:t>.</w:t>
            </w:r>
          </w:p>
        </w:tc>
      </w:tr>
      <w:tr>
        <w:trPr/>
        <w:tc>
          <w:tcPr>
            <w:tcW w:w="1800" w:type="dxa"/>
            <w:tcBorders/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before="20" w:after="20"/>
              <w:jc w:val="left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18"/>
                <w:lang w:val="hr-HR" w:eastAsia="en-US" w:bidi="ar-SA"/>
              </w:rPr>
              <w:t>Preduvjeti za upis</w:t>
            </w:r>
          </w:p>
        </w:tc>
        <w:tc>
          <w:tcPr>
            <w:tcW w:w="7487" w:type="dxa"/>
            <w:gridSpan w:val="33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218" w:leader="none"/>
              </w:tabs>
              <w:suppressAutoHyphens w:val="true"/>
              <w:spacing w:before="20" w:after="2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hr-HR" w:eastAsia="en-US" w:bidi="ar-SA"/>
              </w:rPr>
              <w:t>nema</w:t>
            </w:r>
          </w:p>
        </w:tc>
      </w:tr>
      <w:tr>
        <w:trPr/>
        <w:tc>
          <w:tcPr>
            <w:tcW w:w="9287" w:type="dxa"/>
            <w:gridSpan w:val="34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uppressAutoHyphens w:val="true"/>
              <w:spacing w:before="20" w:after="2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1800" w:type="dxa"/>
            <w:tcBorders/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before="20" w:after="20"/>
              <w:jc w:val="left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18"/>
                <w:lang w:val="hr-HR" w:eastAsia="en-US" w:bidi="ar-SA"/>
              </w:rPr>
              <w:t>Nositelj kolegija</w:t>
            </w:r>
          </w:p>
        </w:tc>
        <w:tc>
          <w:tcPr>
            <w:tcW w:w="7487" w:type="dxa"/>
            <w:gridSpan w:val="33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218" w:leader="none"/>
              </w:tabs>
              <w:suppressAutoHyphens w:val="true"/>
              <w:spacing w:before="20" w:after="2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hr-HR" w:eastAsia="en-US" w:bidi="ar-SA"/>
              </w:rPr>
              <w:t>doc.dr.sc. Josip Lasić</w:t>
            </w:r>
          </w:p>
        </w:tc>
      </w:tr>
      <w:tr>
        <w:trPr/>
        <w:tc>
          <w:tcPr>
            <w:tcW w:w="1800" w:type="dxa"/>
            <w:tcBorders/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before="20" w:after="20"/>
              <w:jc w:val="right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18"/>
                <w:lang w:val="hr-HR" w:eastAsia="en-US" w:bidi="ar-SA"/>
              </w:rPr>
              <w:t>E-mail</w:t>
            </w:r>
          </w:p>
        </w:tc>
        <w:tc>
          <w:tcPr>
            <w:tcW w:w="3694" w:type="dxa"/>
            <w:gridSpan w:val="18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218" w:leader="none"/>
              </w:tabs>
              <w:suppressAutoHyphens w:val="true"/>
              <w:spacing w:before="20" w:after="2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jlasic22@unizd.hr</w:t>
            </w:r>
          </w:p>
        </w:tc>
        <w:tc>
          <w:tcPr>
            <w:tcW w:w="1503" w:type="dxa"/>
            <w:gridSpan w:val="6"/>
            <w:tcBorders/>
            <w:shd w:color="auto" w:fill="F2F2F2" w:themeFill="background1" w:themeFillShade="f2" w:val="clear"/>
          </w:tcPr>
          <w:p>
            <w:pPr>
              <w:pStyle w:val="Normal"/>
              <w:widowControl w:val="false"/>
              <w:tabs>
                <w:tab w:val="clear" w:pos="708"/>
                <w:tab w:val="left" w:pos="1218" w:leader="none"/>
              </w:tabs>
              <w:suppressAutoHyphens w:val="true"/>
              <w:spacing w:before="20" w:after="20"/>
              <w:jc w:val="left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18"/>
                <w:lang w:val="hr-HR" w:eastAsia="en-US" w:bidi="ar-SA"/>
              </w:rPr>
              <w:t>Konzultacije</w:t>
            </w:r>
          </w:p>
        </w:tc>
        <w:tc>
          <w:tcPr>
            <w:tcW w:w="2290" w:type="dxa"/>
            <w:gridSpan w:val="9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218" w:leader="none"/>
              </w:tabs>
              <w:suppressAutoHyphens w:val="true"/>
              <w:spacing w:before="20" w:after="2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hr-HR" w:eastAsia="en-US" w:bidi="ar-SA"/>
              </w:rPr>
              <w:t>srijeda 17.30 - 19h</w:t>
            </w:r>
          </w:p>
        </w:tc>
      </w:tr>
      <w:tr>
        <w:trPr/>
        <w:tc>
          <w:tcPr>
            <w:tcW w:w="1800" w:type="dxa"/>
            <w:tcBorders/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before="20" w:after="20"/>
              <w:jc w:val="left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18"/>
                <w:lang w:val="hr-HR" w:eastAsia="en-US" w:bidi="ar-SA"/>
              </w:rPr>
              <w:t>Izvođač kolegija</w:t>
            </w:r>
          </w:p>
        </w:tc>
        <w:tc>
          <w:tcPr>
            <w:tcW w:w="7487" w:type="dxa"/>
            <w:gridSpan w:val="33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218" w:leader="none"/>
              </w:tabs>
              <w:suppressAutoHyphens w:val="true"/>
              <w:spacing w:before="20" w:after="2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hr-HR" w:eastAsia="en-US" w:bidi="ar-SA"/>
              </w:rPr>
              <w:t>Ana Lisica, prof.</w:t>
            </w:r>
          </w:p>
        </w:tc>
      </w:tr>
      <w:tr>
        <w:trPr/>
        <w:tc>
          <w:tcPr>
            <w:tcW w:w="1800" w:type="dxa"/>
            <w:tcBorders/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before="20" w:after="20"/>
              <w:jc w:val="right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18"/>
                <w:lang w:val="hr-HR" w:eastAsia="en-US" w:bidi="ar-SA"/>
              </w:rPr>
              <w:t>E-mail</w:t>
            </w:r>
          </w:p>
        </w:tc>
        <w:tc>
          <w:tcPr>
            <w:tcW w:w="3694" w:type="dxa"/>
            <w:gridSpan w:val="18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218" w:leader="none"/>
              </w:tabs>
              <w:suppressAutoHyphens w:val="true"/>
              <w:spacing w:before="20" w:after="2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">
              <w:r>
                <w:rPr>
                  <w:rStyle w:val="Internetskapoveznica"/>
                  <w:rFonts w:eastAsia="Calibri" w:cs="Times New Roman" w:ascii="Times New Roman" w:hAnsi="Times New Roman"/>
                  <w:kern w:val="0"/>
                  <w:sz w:val="18"/>
                  <w:szCs w:val="18"/>
                  <w:lang w:val="hr-HR" w:eastAsia="en-US" w:bidi="ar-SA"/>
                </w:rPr>
                <w:t>alisica22@unizd.hr</w:t>
              </w:r>
            </w:hyperlink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hr-HR" w:eastAsia="en-US" w:bidi="ar-SA"/>
              </w:rPr>
              <w:t xml:space="preserve">  </w:t>
            </w:r>
            <w:hyperlink r:id="rId3">
              <w:r>
                <w:rPr>
                  <w:rStyle w:val="Internetskapoveznica"/>
                  <w:rFonts w:eastAsia="Calibri" w:cs="Times New Roman" w:ascii="Times New Roman" w:hAnsi="Times New Roman"/>
                  <w:kern w:val="0"/>
                  <w:sz w:val="18"/>
                  <w:szCs w:val="18"/>
                  <w:lang w:val="hr-HR" w:eastAsia="en-US" w:bidi="ar-SA"/>
                </w:rPr>
                <w:t>ana.lisica1@skole.hr</w:t>
              </w:r>
            </w:hyperlink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hr-HR" w:eastAsia="en-US" w:bidi="ar-SA"/>
              </w:rPr>
              <w:t xml:space="preserve"> </w:t>
            </w:r>
          </w:p>
        </w:tc>
        <w:tc>
          <w:tcPr>
            <w:tcW w:w="1503" w:type="dxa"/>
            <w:gridSpan w:val="6"/>
            <w:tcBorders/>
            <w:shd w:color="auto" w:fill="F2F2F2" w:themeFill="background1" w:themeFillShade="f2" w:val="clear"/>
          </w:tcPr>
          <w:p>
            <w:pPr>
              <w:pStyle w:val="Normal"/>
              <w:widowControl w:val="false"/>
              <w:tabs>
                <w:tab w:val="clear" w:pos="708"/>
                <w:tab w:val="left" w:pos="1218" w:leader="none"/>
              </w:tabs>
              <w:suppressAutoHyphens w:val="true"/>
              <w:spacing w:before="20" w:after="20"/>
              <w:jc w:val="left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18"/>
                <w:lang w:val="hr-HR" w:eastAsia="en-US" w:bidi="ar-SA"/>
              </w:rPr>
              <w:t>Konzultacije</w:t>
            </w:r>
          </w:p>
        </w:tc>
        <w:tc>
          <w:tcPr>
            <w:tcW w:w="2290" w:type="dxa"/>
            <w:gridSpan w:val="9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218" w:leader="none"/>
              </w:tabs>
              <w:suppressAutoHyphens w:val="true"/>
              <w:spacing w:before="20" w:after="2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hr-HR" w:eastAsia="en-US" w:bidi="ar-SA"/>
              </w:rPr>
              <w:t>nakon nastave</w:t>
            </w:r>
          </w:p>
        </w:tc>
      </w:tr>
      <w:tr>
        <w:trPr/>
        <w:tc>
          <w:tcPr>
            <w:tcW w:w="1800" w:type="dxa"/>
            <w:tcBorders/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before="20" w:after="20"/>
              <w:jc w:val="left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18"/>
                <w:lang w:val="hr-HR" w:eastAsia="en-US" w:bidi="ar-SA"/>
              </w:rPr>
              <w:t>Suradnici na kolegiju</w:t>
            </w:r>
          </w:p>
        </w:tc>
        <w:tc>
          <w:tcPr>
            <w:tcW w:w="7487" w:type="dxa"/>
            <w:gridSpan w:val="33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218" w:leader="none"/>
              </w:tabs>
              <w:suppressAutoHyphens w:val="true"/>
              <w:spacing w:before="20" w:after="2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1800" w:type="dxa"/>
            <w:tcBorders/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before="20" w:after="20"/>
              <w:jc w:val="right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18"/>
                <w:lang w:val="hr-HR" w:eastAsia="en-US" w:bidi="ar-SA"/>
              </w:rPr>
              <w:t>E-mail</w:t>
            </w:r>
          </w:p>
        </w:tc>
        <w:tc>
          <w:tcPr>
            <w:tcW w:w="3694" w:type="dxa"/>
            <w:gridSpan w:val="18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218" w:leader="none"/>
              </w:tabs>
              <w:suppressAutoHyphens w:val="true"/>
              <w:spacing w:before="20" w:after="2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503" w:type="dxa"/>
            <w:gridSpan w:val="6"/>
            <w:tcBorders/>
            <w:shd w:color="auto" w:fill="F2F2F2" w:themeFill="background1" w:themeFillShade="f2" w:val="clear"/>
          </w:tcPr>
          <w:p>
            <w:pPr>
              <w:pStyle w:val="Normal"/>
              <w:widowControl w:val="false"/>
              <w:tabs>
                <w:tab w:val="clear" w:pos="708"/>
                <w:tab w:val="left" w:pos="1218" w:leader="none"/>
              </w:tabs>
              <w:suppressAutoHyphens w:val="true"/>
              <w:spacing w:before="20" w:after="20"/>
              <w:jc w:val="left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18"/>
                <w:lang w:val="hr-HR" w:eastAsia="en-US" w:bidi="ar-SA"/>
              </w:rPr>
              <w:t>Konzultacije</w:t>
            </w:r>
          </w:p>
        </w:tc>
        <w:tc>
          <w:tcPr>
            <w:tcW w:w="2290" w:type="dxa"/>
            <w:gridSpan w:val="9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218" w:leader="none"/>
              </w:tabs>
              <w:suppressAutoHyphens w:val="true"/>
              <w:spacing w:before="20" w:after="2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1800" w:type="dxa"/>
            <w:tcBorders/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before="20" w:after="20"/>
              <w:jc w:val="left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18"/>
                <w:lang w:val="hr-HR" w:eastAsia="en-US" w:bidi="ar-SA"/>
              </w:rPr>
              <w:t>Suradnici na kolegiju</w:t>
            </w:r>
          </w:p>
        </w:tc>
        <w:tc>
          <w:tcPr>
            <w:tcW w:w="7487" w:type="dxa"/>
            <w:gridSpan w:val="33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218" w:leader="none"/>
              </w:tabs>
              <w:suppressAutoHyphens w:val="true"/>
              <w:spacing w:before="20" w:after="2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1800" w:type="dxa"/>
            <w:tcBorders/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before="20" w:after="20"/>
              <w:jc w:val="right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18"/>
                <w:lang w:val="hr-HR" w:eastAsia="en-US" w:bidi="ar-SA"/>
              </w:rPr>
              <w:t>E-mail</w:t>
            </w:r>
          </w:p>
        </w:tc>
        <w:tc>
          <w:tcPr>
            <w:tcW w:w="3694" w:type="dxa"/>
            <w:gridSpan w:val="18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218" w:leader="none"/>
              </w:tabs>
              <w:suppressAutoHyphens w:val="true"/>
              <w:spacing w:before="20" w:after="2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503" w:type="dxa"/>
            <w:gridSpan w:val="6"/>
            <w:tcBorders/>
            <w:shd w:color="auto" w:fill="F2F2F2" w:themeFill="background1" w:themeFillShade="f2" w:val="clear"/>
          </w:tcPr>
          <w:p>
            <w:pPr>
              <w:pStyle w:val="Normal"/>
              <w:widowControl w:val="false"/>
              <w:tabs>
                <w:tab w:val="clear" w:pos="708"/>
                <w:tab w:val="left" w:pos="1218" w:leader="none"/>
              </w:tabs>
              <w:suppressAutoHyphens w:val="true"/>
              <w:spacing w:before="20" w:after="20"/>
              <w:jc w:val="left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18"/>
                <w:lang w:val="hr-HR" w:eastAsia="en-US" w:bidi="ar-SA"/>
              </w:rPr>
              <w:t>Konzultacije</w:t>
            </w:r>
          </w:p>
        </w:tc>
        <w:tc>
          <w:tcPr>
            <w:tcW w:w="2290" w:type="dxa"/>
            <w:gridSpan w:val="9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218" w:leader="none"/>
              </w:tabs>
              <w:suppressAutoHyphens w:val="true"/>
              <w:spacing w:before="20" w:after="2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9287" w:type="dxa"/>
            <w:gridSpan w:val="34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tabs>
                <w:tab w:val="clear" w:pos="708"/>
                <w:tab w:val="left" w:pos="1218" w:leader="none"/>
              </w:tabs>
              <w:suppressAutoHyphens w:val="true"/>
              <w:spacing w:before="20" w:after="2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1800" w:type="dxa"/>
            <w:vMerge w:val="restart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20" w:after="20"/>
              <w:jc w:val="left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18"/>
                <w:lang w:val="hr-HR" w:eastAsia="en-US" w:bidi="ar-SA"/>
              </w:rPr>
              <w:t>Vrste izvođenja nastave</w:t>
            </w:r>
          </w:p>
        </w:tc>
        <w:tc>
          <w:tcPr>
            <w:tcW w:w="1497" w:type="dxa"/>
            <w:gridSpan w:val="7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218" w:leader="none"/>
              </w:tabs>
              <w:suppressAutoHyphens w:val="true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id w:val="2287409"/>
              </w:sdtPr>
              <w:sdtContent>
                <w:r>
                  <w:rPr>
                    <w:rFonts w:eastAsia="MS Gothic" w:cs="Segoe UI Symbol" w:ascii="Segoe UI Symbol" w:hAnsi="Segoe UI Symbol"/>
                    <w:kern w:val="0"/>
                    <w:sz w:val="18"/>
                    <w:szCs w:val="18"/>
                    <w:lang w:val="hr-HR" w:eastAsia="en-US" w:bidi="ar-SA"/>
                  </w:rPr>
                  <w:t>☒</w:t>
                </w:r>
              </w:sdtContent>
            </w:sdt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hr-HR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hr-HR" w:eastAsia="en-US" w:bidi="ar-SA"/>
              </w:rPr>
              <w:t>predavanja</w:t>
            </w:r>
          </w:p>
        </w:tc>
        <w:tc>
          <w:tcPr>
            <w:tcW w:w="1498" w:type="dxa"/>
            <w:gridSpan w:val="8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218" w:leader="none"/>
              </w:tabs>
              <w:suppressAutoHyphens w:val="true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id w:val="441863693"/>
              </w:sdtPr>
              <w:sdtContent>
                <w:r>
                  <w:rPr>
                    <w:rFonts w:eastAsia="MS Gothic" w:cs="Segoe UI Symbol" w:ascii="Segoe UI Symbol" w:hAnsi="Segoe UI Symbol"/>
                    <w:kern w:val="0"/>
                    <w:sz w:val="18"/>
                    <w:szCs w:val="18"/>
                    <w:lang w:val="hr-HR" w:eastAsia="en-US" w:bidi="ar-SA"/>
                  </w:rPr>
                  <w:t>☒</w:t>
                </w:r>
              </w:sdtContent>
            </w:sdt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hr-HR" w:eastAsia="en-US" w:bidi="ar-SA"/>
              </w:rPr>
              <w:t>seminari i radionice</w:t>
            </w:r>
          </w:p>
        </w:tc>
        <w:tc>
          <w:tcPr>
            <w:tcW w:w="1496" w:type="dxa"/>
            <w:gridSpan w:val="6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218" w:leader="none"/>
              </w:tabs>
              <w:suppressAutoHyphens w:val="true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hr-HR" w:eastAsia="en-US" w:bidi="ar-SA"/>
              </w:rPr>
              <w:t xml:space="preserve"> </w:t>
            </w:r>
            <w:sdt>
              <w:sdtPr>
                <w:id w:val="1447374222"/>
              </w:sdtPr>
              <w:sdtContent>
                <w:r>
                  <w:rPr>
                    <w:rFonts w:eastAsia="MS Gothic" w:cs="Segoe UI Symbol" w:ascii="Segoe UI Symbol" w:hAnsi="Segoe UI Symbol"/>
                    <w:kern w:val="0"/>
                    <w:sz w:val="18"/>
                    <w:szCs w:val="18"/>
                    <w:lang w:val="hr-HR" w:eastAsia="en-US" w:bidi="ar-SA"/>
                  </w:rPr>
                  <w:t>☐</w:t>
                </w:r>
              </w:sdtContent>
            </w:sdt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hr-HR" w:eastAsia="en-US" w:bidi="ar-SA"/>
              </w:rPr>
              <w:t>vježbe</w:t>
            </w:r>
          </w:p>
        </w:tc>
        <w:tc>
          <w:tcPr>
            <w:tcW w:w="1497" w:type="dxa"/>
            <w:gridSpan w:val="9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218" w:leader="none"/>
              </w:tabs>
              <w:suppressAutoHyphens w:val="true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id w:val="455249991"/>
              </w:sdtPr>
              <w:sdtContent>
                <w:r>
                  <w:rPr>
                    <w:rFonts w:eastAsia="MS Gothic" w:cs="Segoe UI Symbol" w:ascii="Segoe UI Symbol" w:hAnsi="Segoe UI Symbol"/>
                    <w:kern w:val="0"/>
                    <w:sz w:val="18"/>
                    <w:szCs w:val="18"/>
                    <w:lang w:val="hr-HR" w:eastAsia="en-US" w:bidi="ar-SA"/>
                  </w:rPr>
                  <w:t>☐</w:t>
                </w:r>
              </w:sdtContent>
            </w:sdt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hr-HR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hr-HR" w:eastAsia="en-US" w:bidi="ar-SA"/>
              </w:rPr>
              <w:t>obrazovanje na daljinu</w:t>
            </w:r>
          </w:p>
        </w:tc>
        <w:tc>
          <w:tcPr>
            <w:tcW w:w="1499" w:type="dxa"/>
            <w:gridSpan w:val="3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218" w:leader="none"/>
              </w:tabs>
              <w:suppressAutoHyphens w:val="true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id w:val="1503151819"/>
              </w:sdtPr>
              <w:sdtContent>
                <w:r>
                  <w:rPr>
                    <w:rFonts w:eastAsia="MS Gothic" w:cs="Segoe UI Symbol" w:ascii="Segoe UI Symbol" w:hAnsi="Segoe UI Symbol"/>
                    <w:kern w:val="0"/>
                    <w:sz w:val="18"/>
                    <w:szCs w:val="18"/>
                    <w:lang w:val="hr-HR" w:eastAsia="en-US" w:bidi="ar-SA"/>
                  </w:rPr>
                  <w:t>☐</w:t>
                </w:r>
              </w:sdtContent>
            </w:sdt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hr-HR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hr-HR" w:eastAsia="en-US" w:bidi="ar-SA"/>
              </w:rPr>
              <w:t>terenska nastava</w:t>
            </w:r>
          </w:p>
        </w:tc>
      </w:tr>
      <w:tr>
        <w:trPr/>
        <w:tc>
          <w:tcPr>
            <w:tcW w:w="1800" w:type="dxa"/>
            <w:vMerge w:val="continue"/>
            <w:tcBorders/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before="20" w:after="20"/>
              <w:jc w:val="left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1497" w:type="dxa"/>
            <w:gridSpan w:val="7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218" w:leader="none"/>
              </w:tabs>
              <w:suppressAutoHyphens w:val="true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id w:val="1589641807"/>
              </w:sdtPr>
              <w:sdtContent>
                <w:r>
                  <w:rPr>
                    <w:rFonts w:eastAsia="MS Gothic" w:cs="Segoe UI Symbol" w:ascii="Segoe UI Symbol" w:hAnsi="Segoe UI Symbol"/>
                    <w:kern w:val="0"/>
                    <w:sz w:val="18"/>
                    <w:szCs w:val="18"/>
                    <w:lang w:val="hr-HR" w:eastAsia="en-US" w:bidi="ar-SA"/>
                  </w:rPr>
                  <w:t>☐</w:t>
                </w:r>
              </w:sdtContent>
            </w:sdt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hr-HR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hr-HR" w:eastAsia="en-US" w:bidi="ar-SA"/>
              </w:rPr>
              <w:t>samostalni zadaci</w:t>
            </w:r>
          </w:p>
        </w:tc>
        <w:tc>
          <w:tcPr>
            <w:tcW w:w="1498" w:type="dxa"/>
            <w:gridSpan w:val="8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218" w:leader="none"/>
              </w:tabs>
              <w:suppressAutoHyphens w:val="true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id w:val="576285153"/>
              </w:sdtPr>
              <w:sdtContent>
                <w:r>
                  <w:rPr>
                    <w:rFonts w:eastAsia="MS Gothic" w:cs="Segoe UI Symbol" w:ascii="Segoe UI Symbol" w:hAnsi="Segoe UI Symbol"/>
                    <w:kern w:val="0"/>
                    <w:sz w:val="18"/>
                    <w:szCs w:val="18"/>
                    <w:lang w:val="hr-HR" w:eastAsia="en-US" w:bidi="ar-SA"/>
                  </w:rPr>
                  <w:t>☐</w:t>
                </w:r>
              </w:sdtContent>
            </w:sdt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hr-HR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hr-HR" w:eastAsia="en-US" w:bidi="ar-SA"/>
              </w:rPr>
              <w:t>multimedija i mreža</w:t>
            </w:r>
          </w:p>
        </w:tc>
        <w:tc>
          <w:tcPr>
            <w:tcW w:w="1496" w:type="dxa"/>
            <w:gridSpan w:val="6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218" w:leader="none"/>
              </w:tabs>
              <w:suppressAutoHyphens w:val="true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id w:val="1009261100"/>
              </w:sdtPr>
              <w:sdtContent>
                <w:r>
                  <w:rPr>
                    <w:rFonts w:eastAsia="MS Gothic" w:cs="Segoe UI Symbol" w:ascii="Segoe UI Symbol" w:hAnsi="Segoe UI Symbol"/>
                    <w:kern w:val="0"/>
                    <w:sz w:val="18"/>
                    <w:szCs w:val="18"/>
                    <w:lang w:val="hr-HR" w:eastAsia="en-US" w:bidi="ar-SA"/>
                  </w:rPr>
                  <w:t>☐</w:t>
                </w:r>
              </w:sdtContent>
            </w:sdt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hr-HR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hr-HR" w:eastAsia="en-US" w:bidi="ar-SA"/>
              </w:rPr>
              <w:t>laboratorij</w:t>
            </w:r>
          </w:p>
        </w:tc>
        <w:tc>
          <w:tcPr>
            <w:tcW w:w="1497" w:type="dxa"/>
            <w:gridSpan w:val="9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218" w:leader="none"/>
              </w:tabs>
              <w:suppressAutoHyphens w:val="true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id w:val="771113263"/>
              </w:sdtPr>
              <w:sdtContent>
                <w:r>
                  <w:rPr>
                    <w:rFonts w:eastAsia="MS Gothic" w:cs="Segoe UI Symbol" w:ascii="Segoe UI Symbol" w:hAnsi="Segoe UI Symbol"/>
                    <w:kern w:val="0"/>
                    <w:sz w:val="18"/>
                    <w:szCs w:val="18"/>
                    <w:lang w:val="hr-HR" w:eastAsia="en-US" w:bidi="ar-SA"/>
                  </w:rPr>
                  <w:t>☒</w:t>
                </w:r>
              </w:sdtContent>
            </w:sdt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hr-HR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hr-HR" w:eastAsia="en-US" w:bidi="ar-SA"/>
              </w:rPr>
              <w:t>mentorski rad</w:t>
            </w:r>
          </w:p>
        </w:tc>
        <w:tc>
          <w:tcPr>
            <w:tcW w:w="1499" w:type="dxa"/>
            <w:gridSpan w:val="3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218" w:leader="none"/>
              </w:tabs>
              <w:suppressAutoHyphens w:val="true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id w:val="1895631631"/>
              </w:sdtPr>
              <w:sdtContent>
                <w:r>
                  <w:rPr>
                    <w:rFonts w:eastAsia="MS Gothic" w:cs="Segoe UI Symbol" w:ascii="Segoe UI Symbol" w:hAnsi="Segoe UI Symbol"/>
                    <w:kern w:val="0"/>
                    <w:sz w:val="18"/>
                    <w:szCs w:val="18"/>
                    <w:lang w:val="hr-HR" w:eastAsia="en-US" w:bidi="ar-SA"/>
                  </w:rPr>
                  <w:t>☐</w:t>
                </w:r>
              </w:sdtContent>
            </w:sdt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hr-HR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hr-HR" w:eastAsia="en-US" w:bidi="ar-SA"/>
              </w:rPr>
              <w:t>ostalo</w:t>
            </w:r>
          </w:p>
        </w:tc>
      </w:tr>
      <w:tr>
        <w:trPr/>
        <w:tc>
          <w:tcPr>
            <w:tcW w:w="3297" w:type="dxa"/>
            <w:gridSpan w:val="8"/>
            <w:tcBorders/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before="20" w:after="20"/>
              <w:jc w:val="left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18"/>
                <w:lang w:val="hr-HR" w:eastAsia="en-US" w:bidi="ar-SA"/>
              </w:rPr>
              <w:t>Ishodi učenja kolegija</w:t>
            </w:r>
          </w:p>
        </w:tc>
        <w:tc>
          <w:tcPr>
            <w:tcW w:w="5990" w:type="dxa"/>
            <w:gridSpan w:val="26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218" w:leader="none"/>
              </w:tabs>
              <w:suppressAutoHyphens w:val="true"/>
              <w:spacing w:before="20" w:after="2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hr-HR" w:eastAsia="en-US" w:bidi="ar-SA"/>
              </w:rPr>
              <w:t>Nakon položenog ispita iz ovoga kolegija studenti će biti sposobni: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218" w:leader="none"/>
              </w:tabs>
              <w:suppressAutoHyphens w:val="true"/>
              <w:spacing w:before="20" w:after="2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1218" w:leader="none"/>
              </w:tabs>
              <w:suppressAutoHyphens w:val="true"/>
              <w:spacing w:before="20" w:after="2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hr-HR" w:eastAsia="en-US" w:bidi="ar-SA"/>
              </w:rPr>
              <w:t>pravilno tumačiti i interpretirati temeljne pojmove metodike hrvatskoga jezika i metodike književnosti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1218" w:leader="none"/>
              </w:tabs>
              <w:suppressAutoHyphens w:val="true"/>
              <w:spacing w:before="20" w:after="2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hr-HR" w:eastAsia="en-US" w:bidi="ar-SA"/>
              </w:rPr>
              <w:t>analizirati kurikul, svrhu i ishode predmeta, odrediti unutarpredmetnu i međupredmetnu korelaciju te međupredmetne teme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1218" w:leader="none"/>
              </w:tabs>
              <w:suppressAutoHyphens w:val="true"/>
              <w:spacing w:before="20" w:after="2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hr-HR" w:eastAsia="en-US" w:bidi="ar-SA"/>
              </w:rPr>
              <w:t>organizirati i izvoditi nastavu (jezika, književnosti, usmenoga i pisanoga izražavanja te medijske kulture) u predmetnoj nastavi u okviru 45 minuta i prilagoditi se učenicima različitih razreda predmetne nastave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1218" w:leader="none"/>
              </w:tabs>
              <w:suppressAutoHyphens w:val="true"/>
              <w:spacing w:before="20" w:after="2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hr-HR" w:eastAsia="en-US" w:bidi="ar-SA"/>
              </w:rPr>
              <w:t>osmisliti i napisati nastavnu pripravu iz svih predmetnih područja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1218" w:leader="none"/>
              </w:tabs>
              <w:suppressAutoHyphens w:val="true"/>
              <w:spacing w:before="20" w:after="2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hr-HR" w:eastAsia="en-US" w:bidi="ar-SA"/>
              </w:rPr>
              <w:t>osmisliti tehnike vrednovanja i samovrednovanja učenika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1218" w:leader="none"/>
              </w:tabs>
              <w:suppressAutoHyphens w:val="true"/>
              <w:spacing w:before="20" w:after="2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hr-HR" w:eastAsia="en-US" w:bidi="ar-SA"/>
              </w:rPr>
              <w:t>osmisliti plan izvannastavne aktivnosti</w:t>
            </w:r>
          </w:p>
          <w:p>
            <w:pPr>
              <w:pStyle w:val="Sadrajitablice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1218" w:leader="none"/>
              </w:tabs>
              <w:suppressAutoHyphens w:val="true"/>
              <w:spacing w:before="20" w:after="20"/>
              <w:contextualSpacing/>
              <w:jc w:val="left"/>
              <w:rPr>
                <w:rFonts w:ascii="Times New Roman" w:hAnsi="Times New Roman" w:eastAsia="Calibri" w:cs="Times New Roman"/>
                <w:color w:val="auto"/>
                <w:kern w:val="0"/>
                <w:sz w:val="18"/>
                <w:szCs w:val="18"/>
                <w:lang w:val="hr-HR" w:eastAsia="en-US" w:bidi="ar-SA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0"/>
                <w:sz w:val="18"/>
                <w:szCs w:val="18"/>
                <w:lang w:val="hr-HR" w:eastAsia="en-US" w:bidi="ar-SA"/>
              </w:rPr>
              <w:t>osmisliti predmetni i međupredmetni projekt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1218" w:leader="none"/>
              </w:tabs>
              <w:suppressAutoHyphens w:val="true"/>
              <w:spacing w:before="20" w:after="2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hr-HR" w:eastAsia="en-US" w:bidi="ar-SA"/>
              </w:rPr>
              <w:t>primjenjivati različite oblike i metode rada te koristiti suvremena nastavna sredstva i pomagala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1218" w:leader="none"/>
              </w:tabs>
              <w:suppressAutoHyphens w:val="true"/>
              <w:spacing w:before="20" w:after="2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hr-HR" w:eastAsia="en-US" w:bidi="ar-SA"/>
              </w:rPr>
              <w:t>prepoznati učenike s posebnim odgojno-obrazovnim potrebama i prilagoditi nastavu njihovim mogućnostima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1218" w:leader="none"/>
              </w:tabs>
              <w:suppressAutoHyphens w:val="true"/>
              <w:spacing w:before="20" w:after="2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hr-HR" w:eastAsia="en-US" w:bidi="ar-SA"/>
              </w:rPr>
              <w:t>pratiti suvremenu metodičku literaturu za nastavu hrvatskoga jezika</w:t>
            </w:r>
          </w:p>
          <w:p>
            <w:pPr>
              <w:pStyle w:val="Sadrajitablice"/>
              <w:widowControl w:val="false"/>
              <w:tabs>
                <w:tab w:val="clear" w:pos="708"/>
                <w:tab w:val="left" w:pos="1218" w:leader="none"/>
              </w:tabs>
              <w:suppressAutoHyphens w:val="true"/>
              <w:spacing w:before="20" w:after="20"/>
              <w:contextualSpacing/>
              <w:jc w:val="left"/>
              <w:rPr>
                <w:rFonts w:ascii="Times New Roman" w:hAnsi="Times New Roman" w:eastAsia="Calibri" w:cs="Times New Roman"/>
                <w:color w:val="auto"/>
                <w:kern w:val="0"/>
                <w:sz w:val="18"/>
                <w:szCs w:val="18"/>
                <w:lang w:val="hr-HR" w:eastAsia="en-US" w:bidi="ar-SA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0"/>
                <w:sz w:val="18"/>
                <w:szCs w:val="18"/>
                <w:lang w:val="hr-HR" w:eastAsia="en-US" w:bidi="ar-SA"/>
              </w:rPr>
            </w:r>
          </w:p>
        </w:tc>
      </w:tr>
      <w:tr>
        <w:trPr/>
        <w:tc>
          <w:tcPr>
            <w:tcW w:w="3297" w:type="dxa"/>
            <w:gridSpan w:val="8"/>
            <w:tcBorders/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before="20" w:after="20"/>
              <w:jc w:val="left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18"/>
                <w:lang w:val="hr-HR" w:eastAsia="en-US" w:bidi="ar-SA"/>
              </w:rPr>
              <w:t>Ishodi učenja na razini programa</w:t>
            </w:r>
          </w:p>
        </w:tc>
        <w:tc>
          <w:tcPr>
            <w:tcW w:w="5990" w:type="dxa"/>
            <w:gridSpan w:val="26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1218" w:leader="none"/>
              </w:tabs>
              <w:suppressAutoHyphens w:val="true"/>
              <w:spacing w:before="20" w:after="20"/>
              <w:ind w:left="720" w:hanging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Studenti će moći: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1218" w:leader="none"/>
              </w:tabs>
              <w:suppressAutoHyphens w:val="true"/>
              <w:spacing w:before="20" w:after="2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kritički vrednovati različite izvore znanja  iz područja odgoja i obrazovanja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1218" w:leader="none"/>
              </w:tabs>
              <w:suppressAutoHyphens w:val="true"/>
              <w:spacing w:before="20" w:after="2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primijeniti standardnojezične norme na svim razinama (pravopisnoj, pravogovornoj, gramatičkoj, leksičkoj i stilističkoj)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1218" w:leader="none"/>
              </w:tabs>
              <w:suppressAutoHyphens w:val="true"/>
              <w:spacing w:before="20" w:after="2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govorno i pisano komunicirati na materinskom jeziku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1218" w:leader="none"/>
              </w:tabs>
              <w:suppressAutoHyphens w:val="true"/>
              <w:spacing w:before="20" w:after="2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koristiti računalnu tehnologiju za pripremu nastave, stvaranje i oblikovanje teksta i slika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1218" w:leader="none"/>
              </w:tabs>
              <w:suppressAutoHyphens w:val="true"/>
              <w:spacing w:before="20" w:after="2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prepoznati specifične potrebe učenika koji su uvjetovani njihovom različitošću i posebnostima na individualnoj razini</w:t>
            </w:r>
          </w:p>
        </w:tc>
      </w:tr>
      <w:tr>
        <w:trPr/>
        <w:tc>
          <w:tcPr>
            <w:tcW w:w="9287" w:type="dxa"/>
            <w:gridSpan w:val="34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uppressAutoHyphens w:val="true"/>
              <w:spacing w:before="20" w:after="2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>
          <w:trHeight w:val="190" w:hRule="atLeast"/>
        </w:trPr>
        <w:tc>
          <w:tcPr>
            <w:tcW w:w="1800" w:type="dxa"/>
            <w:vMerge w:val="restart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20" w:after="20"/>
              <w:jc w:val="left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18"/>
                <w:lang w:val="hr-HR" w:eastAsia="en-US" w:bidi="ar-SA"/>
              </w:rPr>
              <w:t>Načini praćenja studenata</w:t>
            </w:r>
          </w:p>
        </w:tc>
        <w:tc>
          <w:tcPr>
            <w:tcW w:w="1497" w:type="dxa"/>
            <w:gridSpan w:val="7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218" w:leader="none"/>
              </w:tabs>
              <w:suppressAutoHyphens w:val="true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id w:val="987145089"/>
              </w:sdtPr>
              <w:sdtContent>
                <w:r>
                  <w:rPr>
                    <w:rFonts w:eastAsia="MS Gothic" w:cs="Segoe UI Symbol" w:ascii="Segoe UI Symbol" w:hAnsi="Segoe UI Symbol"/>
                    <w:kern w:val="0"/>
                    <w:sz w:val="18"/>
                    <w:szCs w:val="18"/>
                    <w:lang w:val="hr-HR" w:eastAsia="en-US" w:bidi="ar-SA"/>
                  </w:rPr>
                  <w:t>☒</w:t>
                </w:r>
              </w:sdtContent>
            </w:sdt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hr-HR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hr-HR" w:eastAsia="en-US" w:bidi="ar-SA"/>
              </w:rPr>
              <w:t>pohađanje nastave</w:t>
            </w:r>
          </w:p>
        </w:tc>
        <w:tc>
          <w:tcPr>
            <w:tcW w:w="1498" w:type="dxa"/>
            <w:gridSpan w:val="8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218" w:leader="none"/>
              </w:tabs>
              <w:suppressAutoHyphens w:val="true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id w:val="1493186584"/>
              </w:sdtPr>
              <w:sdtContent>
                <w:r>
                  <w:rPr>
                    <w:rFonts w:eastAsia="MS Gothic" w:cs="Segoe UI Symbol" w:ascii="Segoe UI Symbol" w:hAnsi="Segoe UI Symbol"/>
                    <w:kern w:val="0"/>
                    <w:sz w:val="18"/>
                    <w:szCs w:val="18"/>
                    <w:lang w:val="hr-HR" w:eastAsia="en-US" w:bidi="ar-SA"/>
                  </w:rPr>
                  <w:t>☒</w:t>
                </w:r>
              </w:sdtContent>
            </w:sdt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hr-HR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hr-HR" w:eastAsia="en-US" w:bidi="ar-SA"/>
              </w:rPr>
              <w:t>priprema za nastavu</w:t>
            </w:r>
          </w:p>
        </w:tc>
        <w:tc>
          <w:tcPr>
            <w:tcW w:w="1496" w:type="dxa"/>
            <w:gridSpan w:val="6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218" w:leader="none"/>
              </w:tabs>
              <w:suppressAutoHyphens w:val="true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id w:val="942125412"/>
              </w:sdtPr>
              <w:sdtContent>
                <w:r>
                  <w:rPr>
                    <w:rFonts w:eastAsia="MS Gothic" w:cs="Segoe UI Symbol" w:ascii="Segoe UI Symbol" w:hAnsi="Segoe UI Symbol"/>
                    <w:kern w:val="0"/>
                    <w:sz w:val="18"/>
                    <w:szCs w:val="18"/>
                    <w:lang w:val="hr-HR" w:eastAsia="en-US" w:bidi="ar-SA"/>
                  </w:rPr>
                  <w:t>☒</w:t>
                </w:r>
              </w:sdtContent>
            </w:sdt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hr-HR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hr-HR" w:eastAsia="en-US" w:bidi="ar-SA"/>
              </w:rPr>
              <w:t>domaće zadaće</w:t>
            </w:r>
          </w:p>
        </w:tc>
        <w:tc>
          <w:tcPr>
            <w:tcW w:w="1497" w:type="dxa"/>
            <w:gridSpan w:val="9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218" w:leader="none"/>
              </w:tabs>
              <w:suppressAutoHyphens w:val="true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id w:val="1498388731"/>
              </w:sdtPr>
              <w:sdtContent>
                <w:r>
                  <w:rPr>
                    <w:rFonts w:eastAsia="MS Gothic" w:cs="Segoe UI Symbol" w:ascii="Segoe UI Symbol" w:hAnsi="Segoe UI Symbol"/>
                    <w:kern w:val="0"/>
                    <w:sz w:val="18"/>
                    <w:szCs w:val="18"/>
                    <w:lang w:val="hr-HR" w:eastAsia="en-US" w:bidi="ar-SA"/>
                  </w:rPr>
                  <w:t>☐</w:t>
                </w:r>
              </w:sdtContent>
            </w:sdt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hr-HR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hr-HR" w:eastAsia="en-US" w:bidi="ar-SA"/>
              </w:rPr>
              <w:t>kontinuirana evaluacija</w:t>
            </w:r>
          </w:p>
        </w:tc>
        <w:tc>
          <w:tcPr>
            <w:tcW w:w="1499" w:type="dxa"/>
            <w:gridSpan w:val="3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218" w:leader="none"/>
              </w:tabs>
              <w:suppressAutoHyphens w:val="true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id w:val="814865482"/>
              </w:sdtPr>
              <w:sdtContent>
                <w:r>
                  <w:rPr>
                    <w:rFonts w:eastAsia="MS Gothic" w:cs="Segoe UI Symbol" w:ascii="Segoe UI Symbol" w:hAnsi="Segoe UI Symbol"/>
                    <w:kern w:val="0"/>
                    <w:sz w:val="18"/>
                    <w:szCs w:val="18"/>
                    <w:lang w:val="hr-HR" w:eastAsia="en-US" w:bidi="ar-SA"/>
                  </w:rPr>
                  <w:t>☐</w:t>
                </w:r>
              </w:sdtContent>
            </w:sdt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hr-HR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hr-HR" w:eastAsia="en-US" w:bidi="ar-SA"/>
              </w:rPr>
              <w:t>istraživanje</w:t>
            </w:r>
          </w:p>
        </w:tc>
      </w:tr>
      <w:tr>
        <w:trPr>
          <w:trHeight w:val="190" w:hRule="atLeast"/>
        </w:trPr>
        <w:tc>
          <w:tcPr>
            <w:tcW w:w="1800" w:type="dxa"/>
            <w:vMerge w:val="continue"/>
            <w:tcBorders/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before="20" w:after="20"/>
              <w:jc w:val="left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1497" w:type="dxa"/>
            <w:gridSpan w:val="7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218" w:leader="none"/>
              </w:tabs>
              <w:suppressAutoHyphens w:val="true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id w:val="664651056"/>
              </w:sdtPr>
              <w:sdtContent>
                <w:r>
                  <w:rPr>
                    <w:rFonts w:eastAsia="MS Gothic" w:cs="Segoe UI Symbol" w:ascii="Segoe UI Symbol" w:hAnsi="Segoe UI Symbol"/>
                    <w:kern w:val="0"/>
                    <w:sz w:val="18"/>
                    <w:szCs w:val="18"/>
                    <w:lang w:val="hr-HR" w:eastAsia="en-US" w:bidi="ar-SA"/>
                  </w:rPr>
                  <w:t>☐</w:t>
                </w:r>
              </w:sdtContent>
            </w:sdt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hr-HR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hr-HR" w:eastAsia="en-US" w:bidi="ar-SA"/>
              </w:rPr>
              <w:t>praktični rad</w:t>
            </w:r>
          </w:p>
        </w:tc>
        <w:tc>
          <w:tcPr>
            <w:tcW w:w="1498" w:type="dxa"/>
            <w:gridSpan w:val="8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218" w:leader="none"/>
              </w:tabs>
              <w:suppressAutoHyphens w:val="true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id w:val="880140554"/>
              </w:sdtPr>
              <w:sdtContent>
                <w:r>
                  <w:rPr>
                    <w:rFonts w:eastAsia="MS Gothic" w:cs="Segoe UI Symbol" w:ascii="Segoe UI Symbol" w:hAnsi="Segoe UI Symbol"/>
                    <w:kern w:val="0"/>
                    <w:sz w:val="18"/>
                    <w:szCs w:val="18"/>
                    <w:lang w:val="hr-HR" w:eastAsia="en-US" w:bidi="ar-SA"/>
                  </w:rPr>
                  <w:t>☐</w:t>
                </w:r>
              </w:sdtContent>
            </w:sdt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hr-HR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hr-HR" w:eastAsia="en-US" w:bidi="ar-SA"/>
              </w:rPr>
              <w:t>eksperimentalni rad</w:t>
            </w:r>
          </w:p>
        </w:tc>
        <w:tc>
          <w:tcPr>
            <w:tcW w:w="1496" w:type="dxa"/>
            <w:gridSpan w:val="6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218" w:leader="none"/>
              </w:tabs>
              <w:suppressAutoHyphens w:val="true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id w:val="753798739"/>
              </w:sdtPr>
              <w:sdtContent>
                <w:r>
                  <w:rPr>
                    <w:rFonts w:eastAsia="MS Gothic" w:cs="Segoe UI Symbol" w:ascii="Segoe UI Symbol" w:hAnsi="Segoe UI Symbol"/>
                    <w:kern w:val="0"/>
                    <w:sz w:val="18"/>
                    <w:szCs w:val="18"/>
                    <w:lang w:val="hr-HR" w:eastAsia="en-US" w:bidi="ar-SA"/>
                  </w:rPr>
                  <w:t>☐</w:t>
                </w:r>
              </w:sdtContent>
            </w:sdt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hr-HR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hr-HR" w:eastAsia="en-US" w:bidi="ar-SA"/>
              </w:rPr>
              <w:t>izlaganje</w:t>
            </w:r>
          </w:p>
        </w:tc>
        <w:tc>
          <w:tcPr>
            <w:tcW w:w="1497" w:type="dxa"/>
            <w:gridSpan w:val="9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218" w:leader="none"/>
              </w:tabs>
              <w:suppressAutoHyphens w:val="true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id w:val="567797329"/>
              </w:sdtPr>
              <w:sdtContent>
                <w:r>
                  <w:rPr>
                    <w:rFonts w:eastAsia="MS Gothic" w:cs="Segoe UI Symbol" w:ascii="Segoe UI Symbol" w:hAnsi="Segoe UI Symbol"/>
                    <w:kern w:val="0"/>
                    <w:sz w:val="18"/>
                    <w:szCs w:val="18"/>
                    <w:lang w:val="hr-HR" w:eastAsia="en-US" w:bidi="ar-SA"/>
                  </w:rPr>
                  <w:t>☐</w:t>
                </w:r>
              </w:sdtContent>
            </w:sdt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hr-HR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hr-HR" w:eastAsia="en-US" w:bidi="ar-SA"/>
              </w:rPr>
              <w:t>projekt</w:t>
            </w:r>
          </w:p>
        </w:tc>
        <w:tc>
          <w:tcPr>
            <w:tcW w:w="1499" w:type="dxa"/>
            <w:gridSpan w:val="3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218" w:leader="none"/>
              </w:tabs>
              <w:suppressAutoHyphens w:val="true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id w:val="1773702003"/>
              </w:sdtPr>
              <w:sdtContent>
                <w:r>
                  <w:rPr>
                    <w:rFonts w:eastAsia="MS Gothic" w:cs="Segoe UI Symbol" w:ascii="Segoe UI Symbol" w:hAnsi="Segoe UI Symbol"/>
                    <w:kern w:val="0"/>
                    <w:sz w:val="18"/>
                    <w:szCs w:val="18"/>
                    <w:lang w:val="hr-HR" w:eastAsia="en-US" w:bidi="ar-SA"/>
                  </w:rPr>
                  <w:t>☐</w:t>
                </w:r>
              </w:sdtContent>
            </w:sdt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hr-HR" w:eastAsia="en-US" w:bidi="ar-SA"/>
              </w:rPr>
              <w:t>seminar</w:t>
            </w:r>
          </w:p>
        </w:tc>
      </w:tr>
      <w:tr>
        <w:trPr>
          <w:trHeight w:val="190" w:hRule="atLeast"/>
        </w:trPr>
        <w:tc>
          <w:tcPr>
            <w:tcW w:w="1800" w:type="dxa"/>
            <w:vMerge w:val="continue"/>
            <w:tcBorders/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before="20" w:after="20"/>
              <w:jc w:val="left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1497" w:type="dxa"/>
            <w:gridSpan w:val="7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218" w:leader="none"/>
              </w:tabs>
              <w:suppressAutoHyphens w:val="true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id w:val="411552079"/>
              </w:sdtPr>
              <w:sdtContent>
                <w:r>
                  <w:rPr>
                    <w:rFonts w:eastAsia="MS Gothic" w:cs="Segoe UI Symbol" w:ascii="Segoe UI Symbol" w:hAnsi="Segoe UI Symbol"/>
                    <w:kern w:val="0"/>
                    <w:sz w:val="18"/>
                    <w:szCs w:val="18"/>
                    <w:lang w:val="hr-HR" w:eastAsia="en-US" w:bidi="ar-SA"/>
                  </w:rPr>
                  <w:t>☐</w:t>
                </w:r>
              </w:sdtContent>
            </w:sdt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hr-HR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hr-HR" w:eastAsia="en-US" w:bidi="ar-SA"/>
              </w:rPr>
              <w:t>kolokvij(i)</w:t>
            </w:r>
          </w:p>
        </w:tc>
        <w:tc>
          <w:tcPr>
            <w:tcW w:w="1498" w:type="dxa"/>
            <w:gridSpan w:val="8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218" w:leader="none"/>
              </w:tabs>
              <w:suppressAutoHyphens w:val="true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id w:val="1036403602"/>
              </w:sdtPr>
              <w:sdtContent>
                <w:r>
                  <w:rPr>
                    <w:rFonts w:eastAsia="MS Gothic" w:cs="Segoe UI Symbol" w:ascii="Segoe UI Symbol" w:hAnsi="Segoe UI Symbol"/>
                    <w:kern w:val="0"/>
                    <w:sz w:val="18"/>
                    <w:szCs w:val="18"/>
                    <w:lang w:val="hr-HR" w:eastAsia="en-US" w:bidi="ar-SA"/>
                  </w:rPr>
                  <w:t>☒</w:t>
                </w:r>
              </w:sdtContent>
            </w:sdt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hr-HR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hr-HR" w:eastAsia="en-US" w:bidi="ar-SA"/>
              </w:rPr>
              <w:t>pismeni ispit</w:t>
            </w:r>
          </w:p>
        </w:tc>
        <w:tc>
          <w:tcPr>
            <w:tcW w:w="1496" w:type="dxa"/>
            <w:gridSpan w:val="6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218" w:leader="none"/>
              </w:tabs>
              <w:suppressAutoHyphens w:val="true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id w:val="1375614025"/>
              </w:sdtPr>
              <w:sdtContent>
                <w:r>
                  <w:rPr>
                    <w:rFonts w:eastAsia="MS Gothic" w:cs="Segoe UI Symbol" w:ascii="Segoe UI Symbol" w:hAnsi="Segoe UI Symbol"/>
                    <w:kern w:val="0"/>
                    <w:sz w:val="18"/>
                    <w:szCs w:val="18"/>
                    <w:lang w:val="hr-HR" w:eastAsia="en-US" w:bidi="ar-SA"/>
                  </w:rPr>
                  <w:t>☒</w:t>
                </w:r>
              </w:sdtContent>
            </w:sdt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hr-HR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hr-HR" w:eastAsia="en-US" w:bidi="ar-SA"/>
              </w:rPr>
              <w:t>usmeni ispit</w:t>
            </w:r>
          </w:p>
        </w:tc>
        <w:tc>
          <w:tcPr>
            <w:tcW w:w="2996" w:type="dxa"/>
            <w:gridSpan w:val="12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218" w:leader="none"/>
              </w:tabs>
              <w:suppressAutoHyphens w:val="true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id w:val="1047152211"/>
              </w:sdtPr>
              <w:sdtContent>
                <w:r>
                  <w:rPr>
                    <w:rFonts w:eastAsia="MS Gothic" w:cs="Segoe UI Symbol" w:ascii="Segoe UI Symbol" w:hAnsi="Segoe UI Symbol"/>
                    <w:kern w:val="0"/>
                    <w:sz w:val="18"/>
                    <w:szCs w:val="18"/>
                    <w:lang w:val="hr-HR" w:eastAsia="en-US" w:bidi="ar-SA"/>
                  </w:rPr>
                  <w:t>☐</w:t>
                </w:r>
              </w:sdtContent>
            </w:sdt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hr-HR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hr-HR" w:eastAsia="en-US" w:bidi="ar-SA"/>
              </w:rPr>
              <w:t>ostalo:</w:t>
            </w:r>
          </w:p>
        </w:tc>
      </w:tr>
      <w:tr>
        <w:trPr/>
        <w:tc>
          <w:tcPr>
            <w:tcW w:w="1800" w:type="dxa"/>
            <w:tcBorders/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before="20" w:after="20"/>
              <w:jc w:val="left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18"/>
                <w:lang w:val="hr-HR" w:eastAsia="en-US" w:bidi="ar-SA"/>
              </w:rPr>
              <w:t>Uvjeti pristupanja ispitu</w:t>
            </w:r>
          </w:p>
        </w:tc>
        <w:tc>
          <w:tcPr>
            <w:tcW w:w="7487" w:type="dxa"/>
            <w:gridSpan w:val="33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218" w:leader="none"/>
              </w:tabs>
              <w:suppressAutoHyphens w:val="true"/>
              <w:spacing w:before="20" w:after="20"/>
              <w:jc w:val="left"/>
              <w:rPr>
                <w:rFonts w:ascii="Times New Roman" w:hAnsi="Times New Roman" w:cs="Times New Roman"/>
                <w:i/>
                <w:i/>
                <w:sz w:val="18"/>
                <w:szCs w:val="18"/>
              </w:rPr>
            </w:pPr>
            <w:r>
              <w:rPr>
                <w:rFonts w:eastAsia="MS Gothic" w:cs="Times New Roman" w:ascii="Times New Roman" w:hAnsi="Times New Roman"/>
                <w:kern w:val="0"/>
                <w:sz w:val="18"/>
                <w:szCs w:val="18"/>
                <w:lang w:val="hr-HR" w:eastAsia="en-US" w:bidi="ar-SA"/>
              </w:rPr>
              <w:t>Položen pismeni ispit</w:t>
            </w:r>
          </w:p>
        </w:tc>
      </w:tr>
      <w:tr>
        <w:trPr/>
        <w:tc>
          <w:tcPr>
            <w:tcW w:w="1800" w:type="dxa"/>
            <w:tcBorders/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before="20" w:after="20"/>
              <w:jc w:val="left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18"/>
                <w:lang w:val="hr-HR" w:eastAsia="en-US" w:bidi="ar-SA"/>
              </w:rPr>
              <w:t>Ispitni rokovi</w:t>
            </w:r>
          </w:p>
        </w:tc>
        <w:tc>
          <w:tcPr>
            <w:tcW w:w="2905" w:type="dxa"/>
            <w:gridSpan w:val="14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218" w:leader="none"/>
              </w:tabs>
              <w:suppressAutoHyphens w:val="true"/>
              <w:spacing w:before="20" w:after="2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id w:val="350360235"/>
              </w:sdtPr>
              <w:sdtContent>
                <w:r>
                  <w:rPr>
                    <w:rFonts w:eastAsia="MS Gothic" w:cs="Segoe UI Symbol" w:ascii="Segoe UI Symbol" w:hAnsi="Segoe UI Symbol"/>
                    <w:kern w:val="0"/>
                    <w:sz w:val="18"/>
                    <w:szCs w:val="18"/>
                    <w:lang w:val="hr-HR" w:eastAsia="en-US" w:bidi="ar-SA"/>
                  </w:rPr>
                  <w:t>☒</w:t>
                </w:r>
              </w:sdtContent>
            </w:sdt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hr-HR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hr-HR" w:eastAsia="en-US" w:bidi="ar-SA"/>
              </w:rPr>
              <w:t>zimski ispitni rok</w:t>
            </w:r>
          </w:p>
        </w:tc>
        <w:tc>
          <w:tcPr>
            <w:tcW w:w="2470" w:type="dxa"/>
            <w:gridSpan w:val="12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218" w:leader="none"/>
              </w:tabs>
              <w:suppressAutoHyphens w:val="true"/>
              <w:spacing w:before="20" w:after="2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id w:val="681325447"/>
              </w:sdtPr>
              <w:sdtContent>
                <w:r>
                  <w:rPr>
                    <w:rFonts w:eastAsia="MS Gothic" w:cs="Segoe UI Symbol" w:ascii="Segoe UI Symbol" w:hAnsi="Segoe UI Symbol"/>
                    <w:kern w:val="0"/>
                    <w:sz w:val="18"/>
                    <w:szCs w:val="18"/>
                    <w:lang w:val="hr-HR" w:eastAsia="en-US" w:bidi="ar-SA"/>
                  </w:rPr>
                  <w:t>☐</w:t>
                </w:r>
              </w:sdtContent>
            </w:sdt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hr-HR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hr-HR" w:eastAsia="en-US" w:bidi="ar-SA"/>
              </w:rPr>
              <w:t>ljetni ispitni rok</w:t>
            </w:r>
          </w:p>
        </w:tc>
        <w:tc>
          <w:tcPr>
            <w:tcW w:w="2112" w:type="dxa"/>
            <w:gridSpan w:val="7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218" w:leader="none"/>
              </w:tabs>
              <w:suppressAutoHyphens w:val="true"/>
              <w:spacing w:before="20" w:after="2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id w:val="1288148251"/>
              </w:sdtPr>
              <w:sdtContent>
                <w:r>
                  <w:rPr>
                    <w:rFonts w:eastAsia="MS Gothic" w:cs="Segoe UI Symbol" w:ascii="Segoe UI Symbol" w:hAnsi="Segoe UI Symbol"/>
                    <w:kern w:val="0"/>
                    <w:sz w:val="18"/>
                    <w:szCs w:val="18"/>
                    <w:lang w:val="hr-HR" w:eastAsia="en-US" w:bidi="ar-SA"/>
                  </w:rPr>
                  <w:t>☒</w:t>
                </w:r>
              </w:sdtContent>
            </w:sdt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hr-HR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hr-HR" w:eastAsia="en-US" w:bidi="ar-SA"/>
              </w:rPr>
              <w:t>jesenski ispitni rok</w:t>
            </w:r>
          </w:p>
        </w:tc>
      </w:tr>
      <w:tr>
        <w:trPr/>
        <w:tc>
          <w:tcPr>
            <w:tcW w:w="1800" w:type="dxa"/>
            <w:tcBorders/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before="20" w:after="20"/>
              <w:jc w:val="left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18"/>
                <w:lang w:val="hr-HR" w:eastAsia="en-US" w:bidi="ar-SA"/>
              </w:rPr>
              <w:t>Termini ispitnih rokova</w:t>
            </w:r>
          </w:p>
        </w:tc>
        <w:tc>
          <w:tcPr>
            <w:tcW w:w="2905" w:type="dxa"/>
            <w:gridSpan w:val="14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218" w:leader="none"/>
              </w:tabs>
              <w:suppressAutoHyphens w:val="true"/>
              <w:spacing w:before="20" w:after="2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hr-HR" w:eastAsia="en-US" w:bidi="ar-SA"/>
              </w:rPr>
              <w:t>veljača 202</w:t>
            </w: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hr-HR" w:eastAsia="en-US" w:bidi="ar-SA"/>
              </w:rPr>
              <w:t>4</w:t>
            </w: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hr-HR" w:eastAsia="en-US" w:bidi="ar-SA"/>
              </w:rPr>
              <w:t>.</w:t>
            </w:r>
          </w:p>
        </w:tc>
        <w:tc>
          <w:tcPr>
            <w:tcW w:w="2470" w:type="dxa"/>
            <w:gridSpan w:val="12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218" w:leader="none"/>
              </w:tabs>
              <w:suppressAutoHyphens w:val="true"/>
              <w:spacing w:before="20" w:after="2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2112" w:type="dxa"/>
            <w:gridSpan w:val="7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218" w:leader="none"/>
              </w:tabs>
              <w:suppressAutoHyphens w:val="true"/>
              <w:spacing w:before="20" w:after="2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hr-HR" w:eastAsia="en-US" w:bidi="ar-SA"/>
              </w:rPr>
              <w:t>rujan 202</w:t>
            </w: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hr-HR" w:eastAsia="en-US" w:bidi="ar-SA"/>
              </w:rPr>
              <w:t>4</w:t>
            </w: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hr-HR" w:eastAsia="en-US" w:bidi="ar-SA"/>
              </w:rPr>
              <w:t>.</w:t>
            </w:r>
          </w:p>
        </w:tc>
      </w:tr>
      <w:tr>
        <w:trPr/>
        <w:tc>
          <w:tcPr>
            <w:tcW w:w="1800" w:type="dxa"/>
            <w:tcBorders/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before="20" w:after="20"/>
              <w:jc w:val="left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18"/>
                <w:lang w:val="hr-HR" w:eastAsia="en-US" w:bidi="ar-SA"/>
              </w:rPr>
              <w:t>Opis kolegija</w:t>
            </w:r>
          </w:p>
        </w:tc>
        <w:tc>
          <w:tcPr>
            <w:tcW w:w="7487" w:type="dxa"/>
            <w:gridSpan w:val="33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218" w:leader="none"/>
              </w:tabs>
              <w:suppressAutoHyphens w:val="true"/>
              <w:spacing w:before="20" w:after="20"/>
              <w:jc w:val="left"/>
              <w:rPr>
                <w:rFonts w:ascii="Times New Roman" w:hAnsi="Times New Roman" w:eastAsia="MS Gothic" w:cs="Times New Roman"/>
                <w:sz w:val="18"/>
                <w:szCs w:val="18"/>
              </w:rPr>
            </w:pPr>
            <w:r>
              <w:rPr>
                <w:rFonts w:eastAsia="MS Gothic" w:cs="Times New Roman"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1800" w:type="dxa"/>
            <w:tcBorders/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before="20" w:after="20"/>
              <w:jc w:val="left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18"/>
                <w:lang w:val="hr-HR" w:eastAsia="en-US" w:bidi="ar-SA"/>
              </w:rPr>
              <w:t>Sadržaj kolegija (nastavne teme)</w:t>
            </w:r>
          </w:p>
        </w:tc>
        <w:tc>
          <w:tcPr>
            <w:tcW w:w="7487" w:type="dxa"/>
            <w:gridSpan w:val="33"/>
            <w:tcBorders/>
          </w:tcPr>
          <w:p>
            <w:pPr>
              <w:pStyle w:val="Normal"/>
              <w:widowControl w:val="false"/>
              <w:suppressAutoHyphens w:val="true"/>
              <w:spacing w:before="120" w:after="120"/>
              <w:jc w:val="left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Predavanja:</w:t>
            </w:r>
          </w:p>
          <w:p>
            <w:pPr>
              <w:pStyle w:val="Normal"/>
              <w:widowControl w:val="false"/>
              <w:suppressAutoHyphens w:val="true"/>
              <w:jc w:val="left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Upoznavanje s planom i programom rada te predmetnom literaturom</w:t>
            </w:r>
          </w:p>
          <w:p>
            <w:pPr>
              <w:pStyle w:val="Normal"/>
              <w:widowControl w:val="false"/>
              <w:suppressAutoHyphens w:val="true"/>
              <w:jc w:val="left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Kurikul nastavnoga predmeta Hrvatski jezik, svrha nastave hrvatskoga jezika, ishodi i  predmetna područja u predmetu Hrvatski jezik, unutarpredmetna i međupredmetna korelacija, međupredmetne teme</w:t>
            </w:r>
          </w:p>
          <w:p>
            <w:pPr>
              <w:pStyle w:val="Normal"/>
              <w:widowControl w:val="false"/>
              <w:suppressAutoHyphens w:val="true"/>
              <w:jc w:val="left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 Ustroj nastavne jedinice, artikulacija sata – Zašto je motivacija tako bitna?</w:t>
            </w:r>
          </w:p>
          <w:p>
            <w:pPr>
              <w:pStyle w:val="Normal"/>
              <w:widowControl w:val="false"/>
              <w:suppressAutoHyphens w:val="true"/>
              <w:jc w:val="left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 Pisana priprava prije i poslije reforme – Kako napisati kvalitetnu pripravu?</w:t>
            </w:r>
          </w:p>
          <w:p>
            <w:pPr>
              <w:pStyle w:val="Normal"/>
              <w:widowControl w:val="false"/>
              <w:suppressAutoHyphens w:val="true"/>
              <w:jc w:val="left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 Sat školske interpretacija lirske pjesme</w:t>
            </w:r>
          </w:p>
          <w:p>
            <w:pPr>
              <w:pStyle w:val="Normal"/>
              <w:widowControl w:val="false"/>
              <w:suppressAutoHyphens w:val="true"/>
              <w:jc w:val="left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 Sat školske interpretacije proznoga teksta</w:t>
            </w:r>
          </w:p>
          <w:p>
            <w:pPr>
              <w:pStyle w:val="Normal"/>
              <w:widowControl w:val="false"/>
              <w:suppressAutoHyphens w:val="true"/>
              <w:jc w:val="left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 Sat školske interpretacije dramskoga teksta</w:t>
            </w:r>
          </w:p>
          <w:p>
            <w:pPr>
              <w:pStyle w:val="Normal"/>
              <w:widowControl w:val="false"/>
              <w:suppressAutoHyphens w:val="true"/>
              <w:jc w:val="left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8. Sat obrade jezične nastavne jedinice</w:t>
            </w:r>
          </w:p>
          <w:p>
            <w:pPr>
              <w:pStyle w:val="Normal"/>
              <w:widowControl w:val="false"/>
              <w:suppressAutoHyphens w:val="true"/>
              <w:jc w:val="left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 Pojam i vrste medija</w:t>
            </w:r>
          </w:p>
          <w:p>
            <w:pPr>
              <w:pStyle w:val="Normal"/>
              <w:widowControl w:val="false"/>
              <w:suppressAutoHyphens w:val="true"/>
              <w:jc w:val="left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 Sat medijske kulture - Strip</w:t>
            </w:r>
          </w:p>
          <w:p>
            <w:pPr>
              <w:pStyle w:val="Normal"/>
              <w:widowControl w:val="false"/>
              <w:suppressAutoHyphens w:val="true"/>
              <w:jc w:val="left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11. Svrha nastave jezičnoga izražavanja – četiri jezične vještine: čitanje, pisanje, slušanje i govorenje</w:t>
            </w:r>
          </w:p>
          <w:p>
            <w:pPr>
              <w:pStyle w:val="Normal"/>
              <w:widowControl w:val="false"/>
              <w:suppressAutoHyphens w:val="true"/>
              <w:jc w:val="left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12. Djelo za cjelovito čitanje - </w:t>
            </w:r>
            <w:r>
              <w:rPr>
                <w:rFonts w:ascii="Times New Roman" w:hAnsi="Times New Roman"/>
                <w:b w:val="false"/>
                <w:bCs w:val="false"/>
                <w:sz w:val="18"/>
                <w:szCs w:val="18"/>
              </w:rPr>
              <w:t>različiti pristupi i interpretacije lektirnih djela</w:t>
            </w:r>
          </w:p>
          <w:p>
            <w:pPr>
              <w:pStyle w:val="Normal"/>
              <w:widowControl w:val="false"/>
              <w:suppressAutoHyphens w:val="true"/>
              <w:jc w:val="left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b w:val="false"/>
                <w:bCs w:val="false"/>
                <w:sz w:val="18"/>
                <w:szCs w:val="18"/>
              </w:rPr>
              <w:t>13. Vrednovanje (vrednovanje za učenje, vrednovanje kao učenje i vrednovanje naučenog) te samovrednovanje i vršnjačko vrednovanje</w:t>
            </w:r>
          </w:p>
          <w:p>
            <w:pPr>
              <w:pStyle w:val="Normal"/>
              <w:widowControl w:val="false"/>
              <w:suppressAutoHyphens w:val="true"/>
              <w:jc w:val="left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b w:val="false"/>
                <w:bCs w:val="false"/>
                <w:sz w:val="18"/>
                <w:szCs w:val="18"/>
              </w:rPr>
              <w:t>14. Izvannastavne aktivnosti – Literarna, Dramska, Novinarska i Foto skupina te osnivanje  Čitateljskog kluba – svrha, planovi i programi</w:t>
            </w:r>
          </w:p>
          <w:p>
            <w:pPr>
              <w:pStyle w:val="Normal"/>
              <w:widowControl w:val="false"/>
              <w:suppressAutoHyphens w:val="true"/>
              <w:jc w:val="left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b w:val="false"/>
                <w:bCs w:val="false"/>
                <w:sz w:val="18"/>
                <w:szCs w:val="18"/>
              </w:rPr>
              <w:t>15. Projektna nastava</w:t>
            </w:r>
          </w:p>
          <w:p>
            <w:pPr>
              <w:pStyle w:val="Normal"/>
              <w:widowControl w:val="false"/>
              <w:suppressAutoHyphens w:val="true"/>
              <w:jc w:val="left"/>
              <w:rPr>
                <w:rFonts w:ascii="Times New Roman" w:hAnsi="Times New Roman"/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  <w:sz w:val="22"/>
              </w:rPr>
            </w:r>
          </w:p>
          <w:p>
            <w:pPr>
              <w:pStyle w:val="Normal"/>
              <w:widowControl w:val="false"/>
              <w:suppressAutoHyphens w:val="true"/>
              <w:jc w:val="left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Seminari:</w:t>
            </w:r>
          </w:p>
          <w:p>
            <w:pPr>
              <w:pStyle w:val="Normal"/>
              <w:widowControl w:val="false"/>
              <w:suppressAutoHyphens w:val="true"/>
              <w:jc w:val="left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Plan i program seminara i vježbi, ciljevi i način rada te studentske obveze</w:t>
            </w:r>
          </w:p>
          <w:p>
            <w:pPr>
              <w:pStyle w:val="Normal"/>
              <w:widowControl w:val="false"/>
              <w:suppressAutoHyphens w:val="true"/>
              <w:jc w:val="left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e-Dnevnik - Kako odrediti ishod nastavne jedinice, kako pravilno napisati nastavnu jedinicu u e-Dnevnik, što je bilješka, gdje se, kako i zašto bilježi, kome je upućena i kakva mora biti</w:t>
            </w:r>
          </w:p>
          <w:p>
            <w:pPr>
              <w:pStyle w:val="Normal"/>
              <w:widowControl w:val="false"/>
              <w:suppressAutoHyphens w:val="true"/>
              <w:jc w:val="left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Korelacije - kako odrediti unutarpredmetnu i međupredmetnu korelaciju te povezanost s međupredmetnim temama</w:t>
            </w:r>
          </w:p>
          <w:p>
            <w:pPr>
              <w:pStyle w:val="Normal"/>
              <w:widowControl w:val="false"/>
              <w:suppressAutoHyphens w:val="true"/>
              <w:jc w:val="left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 Artikulacija sata – trajanje i smisao pojedine faze, različite vježbe za motivaciju (anagrami, križaljke, asocijacije, jezične igre, govorne vježbe...), različita rješenja za sintezu nastavnoga gradiva pojedine nastavne jedinice</w:t>
            </w:r>
          </w:p>
          <w:p>
            <w:pPr>
              <w:pStyle w:val="Normal"/>
              <w:widowControl w:val="false"/>
              <w:suppressAutoHyphens w:val="true"/>
              <w:jc w:val="left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 Izvori nastave Hrvatskoga jezika</w:t>
            </w:r>
          </w:p>
          <w:p>
            <w:pPr>
              <w:pStyle w:val="Normal"/>
              <w:widowControl w:val="false"/>
              <w:suppressAutoHyphens w:val="true"/>
              <w:jc w:val="left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 Metodička priprava – lirska pjesma</w:t>
            </w:r>
          </w:p>
          <w:p>
            <w:pPr>
              <w:pStyle w:val="Normal"/>
              <w:widowControl w:val="false"/>
              <w:suppressAutoHyphens w:val="true"/>
              <w:jc w:val="left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 Metodička priprava – prozni tekst</w:t>
            </w:r>
          </w:p>
          <w:p>
            <w:pPr>
              <w:pStyle w:val="Normal"/>
              <w:widowControl w:val="false"/>
              <w:suppressAutoHyphens w:val="true"/>
              <w:jc w:val="left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 Metodička priprava – dramski tekst</w:t>
            </w:r>
          </w:p>
          <w:p>
            <w:pPr>
              <w:pStyle w:val="Normal"/>
              <w:widowControl w:val="false"/>
              <w:suppressAutoHyphens w:val="true"/>
              <w:jc w:val="left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8. Metodička priprava – jezična nastavna jedinica</w:t>
            </w:r>
          </w:p>
          <w:p>
            <w:pPr>
              <w:pStyle w:val="Normal"/>
              <w:widowControl w:val="false"/>
              <w:suppressAutoHyphens w:val="true"/>
              <w:jc w:val="left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 Motivacije za sadržaje medijske kulture, rad u digitalnim programima</w:t>
            </w:r>
          </w:p>
          <w:p>
            <w:pPr>
              <w:pStyle w:val="Normal"/>
              <w:widowControl w:val="false"/>
              <w:suppressAutoHyphens w:val="true"/>
              <w:jc w:val="left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 Metodička priprava – sat medijske kulture</w:t>
            </w:r>
          </w:p>
          <w:p>
            <w:pPr>
              <w:pStyle w:val="Normal"/>
              <w:widowControl w:val="false"/>
              <w:suppressAutoHyphens w:val="true"/>
              <w:jc w:val="left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11. Govorne i pisane vježbe (ispravci kraćih pisanih uradaka i školskih zadaća)</w:t>
            </w:r>
          </w:p>
          <w:p>
            <w:pPr>
              <w:pStyle w:val="Normal"/>
              <w:widowControl w:val="false"/>
              <w:suppressAutoHyphens w:val="true"/>
              <w:jc w:val="left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12. Osmišljavanje različitih pristupa i načina interpretacije zadanog lektirnog djela</w:t>
            </w:r>
          </w:p>
          <w:p>
            <w:pPr>
              <w:pStyle w:val="Normal"/>
              <w:widowControl w:val="false"/>
              <w:suppressAutoHyphens w:val="true"/>
              <w:jc w:val="left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 Vrednovanje učeničkih uradaka i osmišljavanje listića za samovrednovanje</w:t>
            </w:r>
          </w:p>
          <w:p>
            <w:pPr>
              <w:pStyle w:val="Normal"/>
              <w:widowControl w:val="false"/>
              <w:suppressAutoHyphens w:val="true"/>
              <w:jc w:val="left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 Izrada plana (određene) izvannastavne aktivnosti te osmišljavanje novih INA</w:t>
            </w:r>
          </w:p>
          <w:p>
            <w:pPr>
              <w:pStyle w:val="Normal"/>
              <w:widowControl w:val="false"/>
              <w:suppressAutoHyphens w:val="true"/>
              <w:spacing w:before="120" w:after="120"/>
              <w:jc w:val="left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 Samostalno osmišljavanje predmetnoga i međupredmetnoga projekta</w:t>
            </w:r>
          </w:p>
        </w:tc>
      </w:tr>
      <w:tr>
        <w:trPr/>
        <w:tc>
          <w:tcPr>
            <w:tcW w:w="1800" w:type="dxa"/>
            <w:tcBorders/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before="20" w:after="20"/>
              <w:jc w:val="left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18"/>
                <w:lang w:val="hr-HR" w:eastAsia="en-US" w:bidi="ar-SA"/>
              </w:rPr>
              <w:t>Obvezna literatura</w:t>
            </w:r>
          </w:p>
        </w:tc>
        <w:tc>
          <w:tcPr>
            <w:tcW w:w="7487" w:type="dxa"/>
            <w:gridSpan w:val="33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218" w:leader="none"/>
              </w:tabs>
              <w:suppressAutoHyphens w:val="true"/>
              <w:spacing w:before="20" w:after="20"/>
              <w:jc w:val="left"/>
              <w:rPr>
                <w:rFonts w:ascii="Times New Roman" w:hAnsi="Times New Roman" w:eastAsia="MS Gothic" w:cs="Times New Roman"/>
                <w:sz w:val="18"/>
                <w:szCs w:val="18"/>
              </w:rPr>
            </w:pPr>
            <w:r>
              <w:rPr>
                <w:rFonts w:eastAsia="MS Gothic" w:cs="Times New Roman" w:ascii="Times New Roman" w:hAnsi="Times New Roman"/>
                <w:sz w:val="18"/>
                <w:szCs w:val="18"/>
              </w:rPr>
              <w:t>- Bežen, Ante (2008.): Metodika – znanost o poučavanju nastavnog predmeta. Zagreb: Profil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218" w:leader="none"/>
              </w:tabs>
              <w:suppressAutoHyphens w:val="true"/>
              <w:spacing w:before="20" w:after="20"/>
              <w:jc w:val="left"/>
              <w:rPr>
                <w:rFonts w:ascii="Times New Roman" w:hAnsi="Times New Roman" w:eastAsia="MS Gothic" w:cs="Times New Roman"/>
                <w:sz w:val="18"/>
                <w:szCs w:val="18"/>
              </w:rPr>
            </w:pPr>
            <w:r>
              <w:rPr>
                <w:rFonts w:eastAsia="MS Gothic" w:cs="Times New Roman" w:ascii="Times New Roman" w:hAnsi="Times New Roman"/>
                <w:sz w:val="18"/>
                <w:szCs w:val="18"/>
              </w:rPr>
              <w:t>- Rosandić, Dragutin (2005.): Metodika književnoga odgoja. Zagreb: Školska knjiga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218" w:leader="none"/>
              </w:tabs>
              <w:suppressAutoHyphens w:val="true"/>
              <w:spacing w:before="20" w:after="20"/>
              <w:jc w:val="left"/>
              <w:rPr>
                <w:rFonts w:ascii="Times New Roman" w:hAnsi="Times New Roman" w:eastAsia="MS Gothic" w:cs="Times New Roman"/>
                <w:sz w:val="18"/>
                <w:szCs w:val="18"/>
              </w:rPr>
            </w:pPr>
            <w:r>
              <w:rPr>
                <w:rFonts w:eastAsia="MS Gothic" w:cs="Times New Roman" w:ascii="Times New Roman" w:hAnsi="Times New Roman"/>
                <w:sz w:val="18"/>
                <w:szCs w:val="18"/>
              </w:rPr>
              <w:t>- Težak, Stjepko (1996.): Teorija i praksa nastave hrvatskoga jezika 1. Zagreb: Školska knjiga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218" w:leader="none"/>
              </w:tabs>
              <w:suppressAutoHyphens w:val="true"/>
              <w:spacing w:before="20" w:after="20"/>
              <w:jc w:val="left"/>
              <w:rPr>
                <w:rFonts w:ascii="Times New Roman" w:hAnsi="Times New Roman" w:eastAsia="MS Gothic" w:cs="Times New Roman"/>
                <w:sz w:val="18"/>
                <w:szCs w:val="18"/>
              </w:rPr>
            </w:pPr>
            <w:r>
              <w:rPr>
                <w:rFonts w:eastAsia="MS Gothic" w:cs="Times New Roman" w:ascii="Times New Roman" w:hAnsi="Times New Roman"/>
                <w:sz w:val="18"/>
                <w:szCs w:val="18"/>
              </w:rPr>
              <w:t>- Težak, Stjepko (1998.): Teorija i praksa nastave hrvatskoga jezika 2. Zagreb: Školska knjiga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218" w:leader="none"/>
              </w:tabs>
              <w:suppressAutoHyphens w:val="true"/>
              <w:spacing w:before="20" w:after="20"/>
              <w:jc w:val="left"/>
              <w:rPr>
                <w:rFonts w:ascii="Times New Roman" w:hAnsi="Times New Roman" w:eastAsia="MS Gothic" w:cs="Times New Roman"/>
                <w:sz w:val="18"/>
                <w:szCs w:val="18"/>
              </w:rPr>
            </w:pPr>
            <w:r>
              <w:rPr>
                <w:rFonts w:eastAsia="MS Gothic" w:cs="Times New Roman" w:ascii="Times New Roman" w:hAnsi="Times New Roman"/>
                <w:sz w:val="18"/>
                <w:szCs w:val="18"/>
              </w:rPr>
              <w:t>- Visinko, Karol (2014.): Čitanje, poučavanje i učenje. Zagreb: Školska knjiga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218" w:leader="none"/>
              </w:tabs>
              <w:suppressAutoHyphens w:val="true"/>
              <w:spacing w:before="20" w:after="20"/>
              <w:jc w:val="left"/>
              <w:rPr>
                <w:rFonts w:ascii="Times New Roman" w:hAnsi="Times New Roman" w:eastAsia="MS Gothic" w:cs="Times New Roman"/>
                <w:sz w:val="18"/>
                <w:szCs w:val="18"/>
              </w:rPr>
            </w:pPr>
            <w:r>
              <w:rPr>
                <w:rFonts w:eastAsia="MS Gothic" w:cs="Times New Roman" w:ascii="Times New Roman" w:hAnsi="Times New Roman"/>
                <w:sz w:val="18"/>
                <w:szCs w:val="18"/>
              </w:rPr>
              <w:t>- Gabelica, Marina, Težak, Dubravka (2017): Kreativni pristup lektiri. Zagreb: Učiteljski fakultet u Zagrebu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218" w:leader="none"/>
              </w:tabs>
              <w:suppressAutoHyphens w:val="true"/>
              <w:spacing w:before="20" w:after="20"/>
              <w:jc w:val="left"/>
              <w:rPr>
                <w:rFonts w:ascii="Times New Roman" w:hAnsi="Times New Roman" w:eastAsia="MS Gothic" w:cs="Times New Roman"/>
                <w:sz w:val="18"/>
                <w:szCs w:val="18"/>
              </w:rPr>
            </w:pPr>
            <w:r>
              <w:rPr>
                <w:rFonts w:eastAsia="MS Gothic" w:cs="Times New Roman" w:ascii="Times New Roman" w:hAnsi="Times New Roman"/>
                <w:sz w:val="18"/>
                <w:szCs w:val="18"/>
              </w:rPr>
              <w:t>- Težak, Stjepko (2002.): Metodika nastave filma. Zagreb: Školska knjiga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218" w:leader="none"/>
              </w:tabs>
              <w:suppressAutoHyphens w:val="true"/>
              <w:spacing w:before="20" w:after="20"/>
              <w:jc w:val="left"/>
              <w:rPr>
                <w:rFonts w:ascii="Times New Roman" w:hAnsi="Times New Roman" w:eastAsia="MS Gothic" w:cs="Times New Roman"/>
                <w:sz w:val="18"/>
                <w:szCs w:val="18"/>
              </w:rPr>
            </w:pPr>
            <w:r>
              <w:rPr>
                <w:rFonts w:eastAsia="MS Gothic" w:cs="Times New Roman" w:ascii="Times New Roman" w:hAnsi="Times New Roman"/>
                <w:sz w:val="18"/>
                <w:szCs w:val="18"/>
              </w:rPr>
              <w:t>- Kurikulum za predmet Hrvatski jezik (2019.): Ministarstvo znanosti, obrazovanja i športa Republike Hrvatske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218" w:leader="none"/>
              </w:tabs>
              <w:suppressAutoHyphens w:val="true"/>
              <w:spacing w:before="20" w:after="20"/>
              <w:jc w:val="left"/>
              <w:rPr>
                <w:rFonts w:ascii="Times New Roman" w:hAnsi="Times New Roman" w:eastAsia="MS Gothic" w:cs="Times New Roman"/>
                <w:sz w:val="18"/>
                <w:szCs w:val="18"/>
              </w:rPr>
            </w:pPr>
            <w:r>
              <w:rPr>
                <w:rFonts w:eastAsia="MS Gothic" w:cs="Times New Roman"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1800" w:type="dxa"/>
            <w:tcBorders/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before="20" w:after="20"/>
              <w:jc w:val="left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18"/>
                <w:lang w:val="hr-HR" w:eastAsia="en-US" w:bidi="ar-SA"/>
              </w:rPr>
              <w:t>Dodatna literatura</w:t>
            </w:r>
          </w:p>
        </w:tc>
        <w:tc>
          <w:tcPr>
            <w:tcW w:w="7487" w:type="dxa"/>
            <w:gridSpan w:val="33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218" w:leader="none"/>
              </w:tabs>
              <w:suppressAutoHyphens w:val="true"/>
              <w:spacing w:before="20" w:after="20"/>
              <w:jc w:val="left"/>
              <w:rPr>
                <w:rFonts w:ascii="Times New Roman" w:hAnsi="Times New Roman" w:eastAsia="MS Gothic" w:cs="Times New Roman"/>
                <w:sz w:val="18"/>
                <w:szCs w:val="18"/>
              </w:rPr>
            </w:pPr>
            <w:r>
              <w:rPr>
                <w:rFonts w:eastAsia="MS Gothic" w:cs="Times New Roman" w:ascii="Times New Roman" w:hAnsi="Times New Roman"/>
                <w:sz w:val="18"/>
                <w:szCs w:val="18"/>
              </w:rPr>
              <w:t>- Zalar, Dijana (2002): Poezija u zrcalu nastave. Zagreb: Mozaik knjiga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218" w:leader="none"/>
              </w:tabs>
              <w:suppressAutoHyphens w:val="true"/>
              <w:spacing w:before="20" w:after="20"/>
              <w:jc w:val="left"/>
              <w:rPr>
                <w:rFonts w:ascii="Times New Roman" w:hAnsi="Times New Roman" w:eastAsia="MS Gothic" w:cs="Times New Roman"/>
                <w:sz w:val="18"/>
                <w:szCs w:val="18"/>
              </w:rPr>
            </w:pPr>
            <w:r>
              <w:rPr>
                <w:rFonts w:eastAsia="MS Gothic" w:cs="Times New Roman" w:ascii="Times New Roman" w:hAnsi="Times New Roman"/>
                <w:sz w:val="18"/>
                <w:szCs w:val="18"/>
              </w:rPr>
              <w:t>- Šabić, Ana Gabrijela (1991.): Učenik i lirika. Zagreb: Školske novine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218" w:leader="none"/>
              </w:tabs>
              <w:suppressAutoHyphens w:val="true"/>
              <w:spacing w:before="20" w:after="20"/>
              <w:jc w:val="left"/>
              <w:rPr>
                <w:rFonts w:ascii="Times New Roman" w:hAnsi="Times New Roman" w:eastAsia="MS Gothic" w:cs="Times New Roman"/>
                <w:sz w:val="18"/>
                <w:szCs w:val="18"/>
              </w:rPr>
            </w:pPr>
            <w:r>
              <w:rPr>
                <w:rFonts w:eastAsia="MS Gothic" w:cs="Times New Roman" w:ascii="Times New Roman" w:hAnsi="Times New Roman"/>
                <w:sz w:val="18"/>
                <w:szCs w:val="18"/>
              </w:rPr>
              <w:t>- Visinko, Karol (2010.) Jezično izražavanje u nastavi hrvatskoga jezika: pisanje. Zagreb: Školska knjiga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218" w:leader="none"/>
              </w:tabs>
              <w:suppressAutoHyphens w:val="true"/>
              <w:spacing w:before="20" w:after="20"/>
              <w:jc w:val="left"/>
              <w:rPr>
                <w:rFonts w:ascii="Times New Roman" w:hAnsi="Times New Roman" w:eastAsia="MS Gothic" w:cs="Times New Roman"/>
                <w:sz w:val="18"/>
                <w:szCs w:val="18"/>
              </w:rPr>
            </w:pPr>
            <w:r>
              <w:rPr>
                <w:rFonts w:eastAsia="MS Gothic" w:cs="Times New Roman" w:ascii="Times New Roman" w:hAnsi="Times New Roman"/>
                <w:sz w:val="18"/>
                <w:szCs w:val="18"/>
              </w:rPr>
              <w:t>- Ham, Sanda (2017.): Školska gramatika hrvatskoga jezika. Zagreb: Školska knjiga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218" w:leader="none"/>
              </w:tabs>
              <w:suppressAutoHyphens w:val="true"/>
              <w:spacing w:before="20" w:after="20"/>
              <w:jc w:val="left"/>
              <w:rPr>
                <w:rFonts w:ascii="Times New Roman" w:hAnsi="Times New Roman" w:eastAsia="MS Gothic" w:cs="Times New Roman"/>
                <w:sz w:val="18"/>
                <w:szCs w:val="18"/>
              </w:rPr>
            </w:pPr>
            <w:r>
              <w:rPr>
                <w:rFonts w:eastAsia="MS Gothic" w:cs="Times New Roman"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1800" w:type="dxa"/>
            <w:tcBorders/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before="20" w:after="20"/>
              <w:jc w:val="left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18"/>
                <w:lang w:val="hr-HR" w:eastAsia="en-US" w:bidi="ar-SA"/>
              </w:rPr>
              <w:t>Mrežni izvori</w:t>
            </w:r>
          </w:p>
        </w:tc>
        <w:tc>
          <w:tcPr>
            <w:tcW w:w="7487" w:type="dxa"/>
            <w:gridSpan w:val="33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218" w:leader="none"/>
              </w:tabs>
              <w:suppressAutoHyphens w:val="true"/>
              <w:spacing w:before="20" w:after="20"/>
              <w:jc w:val="left"/>
              <w:rPr>
                <w:rFonts w:ascii="Times New Roman" w:hAnsi="Times New Roman" w:eastAsia="MS Gothic" w:cs="Times New Roman"/>
                <w:sz w:val="18"/>
                <w:szCs w:val="18"/>
              </w:rPr>
            </w:pPr>
            <w:r>
              <w:rPr>
                <w:rFonts w:eastAsia="MS Gothic" w:cs="Times New Roman"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1800" w:type="dxa"/>
            <w:vMerge w:val="restart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20" w:after="20"/>
              <w:jc w:val="left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18"/>
                <w:lang w:val="hr-HR" w:eastAsia="en-US" w:bidi="ar-SA"/>
              </w:rPr>
              <w:t>Provjera ishoda učenja (prema uputama AZVO)</w:t>
            </w:r>
          </w:p>
        </w:tc>
        <w:tc>
          <w:tcPr>
            <w:tcW w:w="5755" w:type="dxa"/>
            <w:gridSpan w:val="28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218" w:leader="none"/>
              </w:tabs>
              <w:suppressAutoHyphens w:val="true"/>
              <w:spacing w:before="20" w:after="20"/>
              <w:jc w:val="center"/>
              <w:rPr>
                <w:rFonts w:ascii="Times New Roman" w:hAnsi="Times New Roman" w:eastAsia="MS Gothic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hr-HR" w:eastAsia="hr-HR" w:bidi="ar-SA"/>
              </w:rPr>
              <w:t>Samo završni ispit</w:t>
            </w:r>
          </w:p>
        </w:tc>
        <w:tc>
          <w:tcPr>
            <w:tcW w:w="1732" w:type="dxa"/>
            <w:gridSpan w:val="5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218" w:leader="none"/>
              </w:tabs>
              <w:suppressAutoHyphens w:val="true"/>
              <w:spacing w:before="20" w:after="20"/>
              <w:jc w:val="center"/>
              <w:rPr>
                <w:rFonts w:ascii="Times New Roman" w:hAnsi="Times New Roman" w:eastAsia="MS Gothic" w:cs="Times New Roman"/>
                <w:sz w:val="18"/>
                <w:szCs w:val="18"/>
              </w:rPr>
            </w:pPr>
            <w:r>
              <w:rPr>
                <w:rFonts w:eastAsia="MS Gothic" w:cs="Times New Roman"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1800" w:type="dxa"/>
            <w:vMerge w:val="continue"/>
            <w:tcBorders/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before="20" w:after="20"/>
              <w:jc w:val="left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2082" w:type="dxa"/>
            <w:gridSpan w:val="10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id w:val="1545147262"/>
              </w:sdtPr>
              <w:sdtContent>
                <w:r>
                  <w:rPr>
                    <w:rFonts w:eastAsia="MS Gothic" w:cs="Segoe UI Symbol" w:ascii="Segoe UI Symbol" w:hAnsi="Segoe UI Symbol"/>
                    <w:kern w:val="0"/>
                    <w:sz w:val="18"/>
                    <w:szCs w:val="18"/>
                    <w:lang w:val="hr-HR" w:bidi="ar-SA"/>
                  </w:rPr>
                  <w:t>☒</w:t>
                </w:r>
              </w:sdtContent>
            </w:sdt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hr-HR" w:eastAsia="hr-HR" w:bidi="ar-SA"/>
              </w:rPr>
              <w:t>završni</w:t>
            </w:r>
          </w:p>
          <w:p>
            <w:pPr>
              <w:pStyle w:val="Normal"/>
              <w:widowControl w:val="false"/>
              <w:suppressAutoHyphens w:val="true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hr-HR" w:eastAsia="hr-HR" w:bidi="ar-SA"/>
              </w:rPr>
              <w:t>pismeni ispit</w:t>
            </w:r>
          </w:p>
        </w:tc>
        <w:tc>
          <w:tcPr>
            <w:tcW w:w="1861" w:type="dxa"/>
            <w:gridSpan w:val="9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id w:val="1842415993"/>
              </w:sdtPr>
              <w:sdtContent>
                <w:r>
                  <w:rPr>
                    <w:rFonts w:eastAsia="MS Gothic" w:cs="Segoe UI Symbol" w:ascii="Segoe UI Symbol" w:hAnsi="Segoe UI Symbol"/>
                    <w:kern w:val="0"/>
                    <w:sz w:val="18"/>
                    <w:szCs w:val="18"/>
                    <w:lang w:val="hr-HR" w:bidi="ar-SA"/>
                  </w:rPr>
                  <w:t>☒</w:t>
                </w:r>
              </w:sdtContent>
            </w:sdt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hr-HR" w:eastAsia="hr-HR" w:bidi="ar-SA"/>
              </w:rPr>
              <w:t>završni</w:t>
            </w:r>
          </w:p>
          <w:p>
            <w:pPr>
              <w:pStyle w:val="Normal"/>
              <w:widowControl w:val="false"/>
              <w:suppressAutoHyphens w:val="true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hr-HR" w:eastAsia="hr-HR" w:bidi="ar-SA"/>
              </w:rPr>
              <w:t>usmeni ispit</w:t>
            </w:r>
          </w:p>
        </w:tc>
        <w:tc>
          <w:tcPr>
            <w:tcW w:w="1812" w:type="dxa"/>
            <w:gridSpan w:val="9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id w:val="1540750918"/>
              </w:sdtPr>
              <w:sdtContent>
                <w:r>
                  <w:rPr>
                    <w:rFonts w:eastAsia="MS Gothic" w:cs="Segoe UI Symbol" w:ascii="Segoe UI Symbol" w:hAnsi="Segoe UI Symbol"/>
                    <w:kern w:val="0"/>
                    <w:sz w:val="18"/>
                    <w:szCs w:val="18"/>
                    <w:lang w:val="hr-HR" w:bidi="ar-SA"/>
                  </w:rPr>
                  <w:t>☐</w:t>
                </w:r>
              </w:sdtContent>
            </w:sdt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hr-HR" w:eastAsia="hr-HR" w:bidi="ar-SA"/>
              </w:rPr>
              <w:t>pismeni i usmeni završni ispit</w:t>
            </w:r>
          </w:p>
        </w:tc>
        <w:tc>
          <w:tcPr>
            <w:tcW w:w="1732" w:type="dxa"/>
            <w:gridSpan w:val="5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id w:val="1939252536"/>
              </w:sdtPr>
              <w:sdtContent>
                <w:r>
                  <w:rPr>
                    <w:rFonts w:eastAsia="MS Gothic" w:cs="Segoe UI Symbol" w:ascii="Segoe UI Symbol" w:hAnsi="Segoe UI Symbol"/>
                    <w:kern w:val="0"/>
                    <w:sz w:val="18"/>
                    <w:szCs w:val="18"/>
                    <w:lang w:val="hr-HR" w:bidi="ar-SA"/>
                  </w:rPr>
                  <w:t>☐</w:t>
                </w:r>
              </w:sdtContent>
            </w:sdt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hr-HR" w:eastAsia="hr-HR" w:bidi="ar-SA"/>
              </w:rPr>
              <w:t>praktični rad i završni ispit</w:t>
            </w:r>
          </w:p>
        </w:tc>
      </w:tr>
      <w:tr>
        <w:trPr/>
        <w:tc>
          <w:tcPr>
            <w:tcW w:w="1800" w:type="dxa"/>
            <w:vMerge w:val="continue"/>
            <w:tcBorders/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before="20" w:after="20"/>
              <w:jc w:val="left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1382" w:type="dxa"/>
            <w:gridSpan w:val="5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id w:val="890877865"/>
              </w:sdtPr>
              <w:sdtContent>
                <w:r>
                  <w:rPr>
                    <w:rFonts w:eastAsia="MS Gothic" w:cs="Segoe UI Symbol" w:ascii="Segoe UI Symbol" w:hAnsi="Segoe UI Symbol"/>
                    <w:kern w:val="0"/>
                    <w:sz w:val="18"/>
                    <w:szCs w:val="18"/>
                    <w:lang w:val="hr-HR" w:bidi="ar-SA"/>
                  </w:rPr>
                  <w:t>☐</w:t>
                </w:r>
              </w:sdtContent>
            </w:sdt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hr-HR" w:eastAsia="hr-HR" w:bidi="ar-SA"/>
              </w:rPr>
              <w:t>samo kolokvij/zadaće</w:t>
            </w:r>
          </w:p>
        </w:tc>
        <w:tc>
          <w:tcPr>
            <w:tcW w:w="1408" w:type="dxa"/>
            <w:gridSpan w:val="8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id w:val="1493912432"/>
              </w:sdtPr>
              <w:sdtContent>
                <w:r>
                  <w:rPr>
                    <w:rFonts w:eastAsia="MS Gothic" w:cs="Segoe UI Symbol" w:ascii="Segoe UI Symbol" w:hAnsi="Segoe UI Symbol"/>
                    <w:kern w:val="0"/>
                    <w:sz w:val="18"/>
                    <w:szCs w:val="18"/>
                    <w:lang w:val="hr-HR" w:bidi="ar-SA"/>
                  </w:rPr>
                  <w:t>☐</w:t>
                </w:r>
              </w:sdtContent>
            </w:sdt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hr-HR" w:eastAsia="hr-HR" w:bidi="ar-SA"/>
              </w:rPr>
              <w:t>kolokvij / zadaća i završni ispit</w:t>
            </w:r>
          </w:p>
        </w:tc>
        <w:tc>
          <w:tcPr>
            <w:tcW w:w="1153" w:type="dxa"/>
            <w:gridSpan w:val="6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id w:val="51560004"/>
              </w:sdtPr>
              <w:sdtContent>
                <w:r>
                  <w:rPr>
                    <w:rFonts w:eastAsia="MS Gothic" w:cs="Segoe UI Symbol" w:ascii="Segoe UI Symbol" w:hAnsi="Segoe UI Symbol"/>
                    <w:kern w:val="0"/>
                    <w:sz w:val="18"/>
                    <w:szCs w:val="18"/>
                    <w:lang w:val="hr-HR" w:bidi="ar-SA"/>
                  </w:rPr>
                  <w:t>☐</w:t>
                </w:r>
              </w:sdtContent>
            </w:sdt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hr-HR" w:eastAsia="hr-HR" w:bidi="ar-SA"/>
              </w:rPr>
              <w:t>seminarski</w:t>
            </w:r>
          </w:p>
          <w:p>
            <w:pPr>
              <w:pStyle w:val="Normal"/>
              <w:widowControl w:val="false"/>
              <w:suppressAutoHyphens w:val="true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hr-HR" w:eastAsia="hr-HR" w:bidi="ar-SA"/>
              </w:rPr>
              <w:t>rad</w:t>
            </w:r>
          </w:p>
        </w:tc>
        <w:tc>
          <w:tcPr>
            <w:tcW w:w="1236" w:type="dxa"/>
            <w:gridSpan w:val="4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id w:val="1552607433"/>
              </w:sdtPr>
              <w:sdtContent>
                <w:r>
                  <w:rPr>
                    <w:rFonts w:eastAsia="MS Gothic" w:cs="Segoe UI Symbol" w:ascii="Segoe UI Symbol" w:hAnsi="Segoe UI Symbol"/>
                    <w:kern w:val="0"/>
                    <w:sz w:val="18"/>
                    <w:szCs w:val="18"/>
                    <w:lang w:val="hr-HR" w:bidi="ar-SA"/>
                  </w:rPr>
                  <w:t>☐</w:t>
                </w:r>
              </w:sdtContent>
            </w:sdt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hr-HR" w:eastAsia="hr-HR" w:bidi="ar-SA"/>
              </w:rPr>
              <w:t>seminarski</w:t>
            </w:r>
          </w:p>
          <w:p>
            <w:pPr>
              <w:pStyle w:val="Normal"/>
              <w:widowControl w:val="false"/>
              <w:suppressAutoHyphens w:val="true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hr-HR" w:eastAsia="hr-HR" w:bidi="ar-SA"/>
              </w:rPr>
              <w:t>rad i završni ispit</w:t>
            </w:r>
          </w:p>
        </w:tc>
        <w:tc>
          <w:tcPr>
            <w:tcW w:w="1125" w:type="dxa"/>
            <w:gridSpan w:val="8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759" w:leader="none"/>
              </w:tabs>
              <w:suppressAutoHyphens w:val="true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id w:val="1506539622"/>
              </w:sdtPr>
              <w:sdtContent>
                <w:r>
                  <w:rPr>
                    <w:rFonts w:eastAsia="MS Gothic" w:cs="Segoe UI Symbol" w:ascii="Segoe UI Symbol" w:hAnsi="Segoe UI Symbol"/>
                    <w:kern w:val="0"/>
                    <w:sz w:val="18"/>
                    <w:szCs w:val="18"/>
                    <w:lang w:val="hr-HR" w:bidi="ar-SA"/>
                  </w:rPr>
                  <w:t>☐</w:t>
                </w:r>
              </w:sdtContent>
            </w:sdt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hr-HR" w:eastAsia="hr-HR" w:bidi="ar-SA"/>
              </w:rPr>
              <w:t>praktični rad</w:t>
            </w:r>
          </w:p>
        </w:tc>
        <w:tc>
          <w:tcPr>
            <w:tcW w:w="1183" w:type="dxa"/>
            <w:gridSpan w:val="2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759" w:leader="none"/>
              </w:tabs>
              <w:suppressAutoHyphens w:val="true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id w:val="1459744372"/>
              </w:sdtPr>
              <w:sdtContent>
                <w:r>
                  <w:rPr>
                    <w:rFonts w:eastAsia="MS Gothic" w:cs="Segoe UI Symbol" w:ascii="Segoe UI Symbol" w:hAnsi="Segoe UI Symbol"/>
                    <w:kern w:val="0"/>
                    <w:sz w:val="18"/>
                    <w:szCs w:val="18"/>
                    <w:lang w:val="hr-HR" w:bidi="ar-SA"/>
                  </w:rPr>
                  <w:t>☐</w:t>
                </w:r>
              </w:sdtContent>
            </w:sdt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hr-HR" w:eastAsia="hr-HR" w:bidi="ar-SA"/>
              </w:rPr>
              <w:t>drugi oblici</w:t>
            </w:r>
          </w:p>
        </w:tc>
      </w:tr>
      <w:tr>
        <w:trPr/>
        <w:tc>
          <w:tcPr>
            <w:tcW w:w="1800" w:type="dxa"/>
            <w:tcBorders/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before="20" w:after="20"/>
              <w:jc w:val="left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18"/>
                <w:lang w:val="hr-HR" w:eastAsia="en-US" w:bidi="ar-SA"/>
              </w:rPr>
              <w:t>Način formiranja završne ocjene (%)</w:t>
            </w:r>
          </w:p>
        </w:tc>
        <w:tc>
          <w:tcPr>
            <w:tcW w:w="7487" w:type="dxa"/>
            <w:gridSpan w:val="33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218" w:leader="none"/>
              </w:tabs>
              <w:suppressAutoHyphens w:val="true"/>
              <w:spacing w:before="20" w:after="20"/>
              <w:jc w:val="left"/>
              <w:rPr>
                <w:rFonts w:ascii="Times New Roman" w:hAnsi="Times New Roman" w:eastAsia="MS Gothic" w:cs="Times New Roman"/>
                <w:sz w:val="18"/>
                <w:szCs w:val="18"/>
              </w:rPr>
            </w:pPr>
            <w:r>
              <w:rPr>
                <w:rFonts w:eastAsia="MS Gothic" w:cs="Times New Roman" w:ascii="Times New Roman" w:hAnsi="Times New Roman"/>
                <w:kern w:val="0"/>
                <w:sz w:val="18"/>
                <w:szCs w:val="18"/>
                <w:lang w:val="hr-HR" w:eastAsia="en-US" w:bidi="ar-SA"/>
              </w:rPr>
              <w:t>100% završni ispit</w:t>
            </w:r>
          </w:p>
        </w:tc>
      </w:tr>
      <w:tr>
        <w:trPr/>
        <w:tc>
          <w:tcPr>
            <w:tcW w:w="1800" w:type="dxa"/>
            <w:vMerge w:val="restart"/>
            <w:tcBorders/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before="20" w:after="20"/>
              <w:jc w:val="left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18"/>
                <w:lang w:val="hr-HR" w:eastAsia="en-US" w:bidi="ar-SA"/>
              </w:rPr>
              <w:t>Ocjenjivanje kolokvija i završnog ispita (%)</w:t>
            </w:r>
          </w:p>
        </w:tc>
        <w:tc>
          <w:tcPr>
            <w:tcW w:w="1426" w:type="dxa"/>
            <w:gridSpan w:val="6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218" w:leader="none"/>
              </w:tabs>
              <w:suppressAutoHyphens w:val="true"/>
              <w:spacing w:before="20" w:after="2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hr-HR" w:eastAsia="en-US" w:bidi="ar-SA"/>
              </w:rPr>
              <w:t>manja od 50</w:t>
            </w:r>
          </w:p>
        </w:tc>
        <w:tc>
          <w:tcPr>
            <w:tcW w:w="6061" w:type="dxa"/>
            <w:gridSpan w:val="27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218" w:leader="none"/>
              </w:tabs>
              <w:suppressAutoHyphens w:val="true"/>
              <w:spacing w:before="20" w:after="2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hr-HR" w:eastAsia="en-US" w:bidi="ar-SA"/>
              </w:rPr>
              <w:t>% nedovoljan (1)</w:t>
            </w:r>
          </w:p>
        </w:tc>
      </w:tr>
      <w:tr>
        <w:trPr/>
        <w:tc>
          <w:tcPr>
            <w:tcW w:w="1800" w:type="dxa"/>
            <w:vMerge w:val="continue"/>
            <w:tcBorders/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before="20" w:after="20"/>
              <w:jc w:val="left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1426" w:type="dxa"/>
            <w:gridSpan w:val="6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218" w:leader="none"/>
              </w:tabs>
              <w:suppressAutoHyphens w:val="true"/>
              <w:spacing w:before="20" w:after="2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hr-HR" w:eastAsia="en-US" w:bidi="ar-SA"/>
              </w:rPr>
              <w:t>60</w:t>
            </w:r>
          </w:p>
        </w:tc>
        <w:tc>
          <w:tcPr>
            <w:tcW w:w="6061" w:type="dxa"/>
            <w:gridSpan w:val="27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218" w:leader="none"/>
              </w:tabs>
              <w:suppressAutoHyphens w:val="true"/>
              <w:spacing w:before="20" w:after="2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hr-HR" w:eastAsia="en-US" w:bidi="ar-SA"/>
              </w:rPr>
              <w:t>% dovoljan (2)</w:t>
            </w:r>
          </w:p>
        </w:tc>
      </w:tr>
      <w:tr>
        <w:trPr/>
        <w:tc>
          <w:tcPr>
            <w:tcW w:w="1800" w:type="dxa"/>
            <w:vMerge w:val="continue"/>
            <w:tcBorders/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before="20" w:after="20"/>
              <w:jc w:val="left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1426" w:type="dxa"/>
            <w:gridSpan w:val="6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218" w:leader="none"/>
              </w:tabs>
              <w:suppressAutoHyphens w:val="true"/>
              <w:spacing w:before="20" w:after="2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hr-HR" w:eastAsia="en-US" w:bidi="ar-SA"/>
              </w:rPr>
              <w:t>70</w:t>
            </w:r>
          </w:p>
        </w:tc>
        <w:tc>
          <w:tcPr>
            <w:tcW w:w="6061" w:type="dxa"/>
            <w:gridSpan w:val="27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218" w:leader="none"/>
              </w:tabs>
              <w:suppressAutoHyphens w:val="true"/>
              <w:spacing w:before="20" w:after="2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hr-HR" w:eastAsia="en-US" w:bidi="ar-SA"/>
              </w:rPr>
              <w:t>% dobar (3)</w:t>
            </w:r>
          </w:p>
        </w:tc>
      </w:tr>
      <w:tr>
        <w:trPr/>
        <w:tc>
          <w:tcPr>
            <w:tcW w:w="1800" w:type="dxa"/>
            <w:vMerge w:val="continue"/>
            <w:tcBorders/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before="20" w:after="20"/>
              <w:jc w:val="left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1426" w:type="dxa"/>
            <w:gridSpan w:val="6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218" w:leader="none"/>
              </w:tabs>
              <w:suppressAutoHyphens w:val="true"/>
              <w:spacing w:before="20" w:after="2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hr-HR" w:eastAsia="en-US" w:bidi="ar-SA"/>
              </w:rPr>
              <w:t>80</w:t>
            </w:r>
          </w:p>
        </w:tc>
        <w:tc>
          <w:tcPr>
            <w:tcW w:w="6061" w:type="dxa"/>
            <w:gridSpan w:val="27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218" w:leader="none"/>
              </w:tabs>
              <w:suppressAutoHyphens w:val="true"/>
              <w:spacing w:before="20" w:after="2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hr-HR" w:eastAsia="en-US" w:bidi="ar-SA"/>
              </w:rPr>
              <w:t>% vrlo dobar (4)</w:t>
            </w:r>
          </w:p>
        </w:tc>
      </w:tr>
      <w:tr>
        <w:trPr/>
        <w:tc>
          <w:tcPr>
            <w:tcW w:w="1800" w:type="dxa"/>
            <w:vMerge w:val="continue"/>
            <w:tcBorders/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before="20" w:after="20"/>
              <w:jc w:val="left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1426" w:type="dxa"/>
            <w:gridSpan w:val="6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218" w:leader="none"/>
              </w:tabs>
              <w:suppressAutoHyphens w:val="true"/>
              <w:spacing w:before="20" w:after="2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hr-HR" w:eastAsia="en-US" w:bidi="ar-SA"/>
              </w:rPr>
              <w:t>90</w:t>
            </w:r>
          </w:p>
        </w:tc>
        <w:tc>
          <w:tcPr>
            <w:tcW w:w="6061" w:type="dxa"/>
            <w:gridSpan w:val="27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218" w:leader="none"/>
              </w:tabs>
              <w:suppressAutoHyphens w:val="true"/>
              <w:spacing w:before="20" w:after="2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hr-HR" w:eastAsia="en-US" w:bidi="ar-SA"/>
              </w:rPr>
              <w:t>% izvrstan (5)</w:t>
            </w:r>
          </w:p>
        </w:tc>
      </w:tr>
      <w:tr>
        <w:trPr/>
        <w:tc>
          <w:tcPr>
            <w:tcW w:w="1800" w:type="dxa"/>
            <w:tcBorders/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before="20" w:after="20"/>
              <w:jc w:val="left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18"/>
                <w:lang w:val="hr-HR" w:eastAsia="en-US" w:bidi="ar-SA"/>
              </w:rPr>
              <w:t>Način praćenja kvalitete</w:t>
            </w:r>
          </w:p>
        </w:tc>
        <w:tc>
          <w:tcPr>
            <w:tcW w:w="7487" w:type="dxa"/>
            <w:gridSpan w:val="33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218" w:leader="none"/>
              </w:tabs>
              <w:suppressAutoHyphens w:val="true"/>
              <w:spacing w:before="20" w:after="2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id w:val="737446279"/>
              </w:sdtPr>
              <w:sdtContent>
                <w:r>
                  <w:rPr>
                    <w:rFonts w:eastAsia="MS Gothic" w:cs="Segoe UI Symbol" w:ascii="Segoe UI Symbol" w:hAnsi="Segoe UI Symbol"/>
                    <w:kern w:val="0"/>
                    <w:sz w:val="18"/>
                    <w:szCs w:val="18"/>
                    <w:lang w:val="hr-HR" w:eastAsia="en-US" w:bidi="ar-SA"/>
                  </w:rPr>
                  <w:t>☒</w:t>
                </w:r>
              </w:sdtContent>
            </w:sdt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hr-HR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hr-HR" w:eastAsia="en-US" w:bidi="ar-SA"/>
              </w:rPr>
              <w:t>studentska evaluacija nastave na razini Sveučilišta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218" w:leader="none"/>
              </w:tabs>
              <w:suppressAutoHyphens w:val="true"/>
              <w:spacing w:before="20" w:after="2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id w:val="146111219"/>
              </w:sdtPr>
              <w:sdtContent>
                <w:r>
                  <w:rPr>
                    <w:rFonts w:eastAsia="MS Gothic" w:cs="Segoe UI Symbol" w:ascii="Segoe UI Symbol" w:hAnsi="Segoe UI Symbol"/>
                    <w:kern w:val="0"/>
                    <w:sz w:val="18"/>
                    <w:szCs w:val="18"/>
                    <w:lang w:val="hr-HR" w:eastAsia="en-US" w:bidi="ar-SA"/>
                  </w:rPr>
                  <w:t>☐</w:t>
                </w:r>
              </w:sdtContent>
            </w:sdt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hr-HR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hr-HR" w:eastAsia="en-US" w:bidi="ar-SA"/>
              </w:rPr>
              <w:t>studentska evaluacija nastave na razini sastavnice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218" w:leader="none"/>
              </w:tabs>
              <w:suppressAutoHyphens w:val="true"/>
              <w:spacing w:before="20" w:after="2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id w:val="1124494339"/>
              </w:sdtPr>
              <w:sdtContent>
                <w:r>
                  <w:rPr>
                    <w:rFonts w:eastAsia="MS Gothic" w:cs="Segoe UI Symbol" w:ascii="Segoe UI Symbol" w:hAnsi="Segoe UI Symbol"/>
                    <w:kern w:val="0"/>
                    <w:sz w:val="18"/>
                    <w:szCs w:val="18"/>
                    <w:lang w:val="hr-HR" w:eastAsia="en-US" w:bidi="ar-SA"/>
                  </w:rPr>
                  <w:t>☐</w:t>
                </w:r>
              </w:sdtContent>
            </w:sdt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hr-HR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hr-HR" w:eastAsia="en-US" w:bidi="ar-SA"/>
              </w:rPr>
              <w:t>interna evaluacija nastave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218" w:leader="none"/>
              </w:tabs>
              <w:suppressAutoHyphens w:val="true"/>
              <w:spacing w:before="20" w:after="2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id w:val="1725657921"/>
              </w:sdtPr>
              <w:sdtContent>
                <w:r>
                  <w:rPr>
                    <w:rFonts w:eastAsia="MS Gothic" w:cs="Segoe UI Symbol" w:ascii="Segoe UI Symbol" w:hAnsi="Segoe UI Symbol"/>
                    <w:kern w:val="0"/>
                    <w:sz w:val="18"/>
                    <w:szCs w:val="18"/>
                    <w:lang w:val="hr-HR" w:eastAsia="en-US" w:bidi="ar-SA"/>
                  </w:rPr>
                  <w:t>☒</w:t>
                </w:r>
              </w:sdtContent>
            </w:sdt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hr-HR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hr-HR" w:eastAsia="en-US" w:bidi="ar-SA"/>
              </w:rPr>
              <w:t>tematske sjednice stručnih vijeća sastavnica o kvaliteti nastave i rezultatima studentske ankete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218" w:leader="none"/>
              </w:tabs>
              <w:suppressAutoHyphens w:val="true"/>
              <w:spacing w:before="20" w:after="2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id w:val="489644022"/>
              </w:sdtPr>
              <w:sdtContent>
                <w:r>
                  <w:rPr>
                    <w:rFonts w:eastAsia="MS Gothic" w:cs="Segoe UI Symbol" w:ascii="Segoe UI Symbol" w:hAnsi="Segoe UI Symbol"/>
                    <w:kern w:val="0"/>
                    <w:sz w:val="18"/>
                    <w:szCs w:val="18"/>
                    <w:lang w:val="hr-HR" w:eastAsia="en-US" w:bidi="ar-SA"/>
                  </w:rPr>
                  <w:t>☐</w:t>
                </w:r>
              </w:sdtContent>
            </w:sdt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hr-HR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hr-HR" w:eastAsia="en-US" w:bidi="ar-SA"/>
              </w:rPr>
              <w:t>ostalo</w:t>
            </w:r>
          </w:p>
        </w:tc>
      </w:tr>
      <w:tr>
        <w:trPr/>
        <w:tc>
          <w:tcPr>
            <w:tcW w:w="1800" w:type="dxa"/>
            <w:tcBorders/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before="20" w:after="20"/>
              <w:jc w:val="left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18"/>
                <w:lang w:val="hr-HR" w:eastAsia="en-US" w:bidi="ar-SA"/>
              </w:rPr>
              <w:t>Napomena / </w:t>
            </w:r>
          </w:p>
          <w:p>
            <w:pPr>
              <w:pStyle w:val="Normal"/>
              <w:widowControl w:val="false"/>
              <w:suppressAutoHyphens w:val="true"/>
              <w:spacing w:before="20" w:after="20"/>
              <w:jc w:val="left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18"/>
                <w:lang w:val="hr-HR" w:eastAsia="en-US" w:bidi="ar-SA"/>
              </w:rPr>
              <w:t>Ostalo</w:t>
            </w:r>
          </w:p>
        </w:tc>
        <w:tc>
          <w:tcPr>
            <w:tcW w:w="7487" w:type="dxa"/>
            <w:gridSpan w:val="33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1218" w:leader="none"/>
              </w:tabs>
              <w:suppressAutoHyphens w:val="true"/>
              <w:spacing w:before="20" w:after="20"/>
              <w:jc w:val="both"/>
              <w:rPr>
                <w:rFonts w:ascii="Times New Roman" w:hAnsi="Times New Roman" w:eastAsia="MS Gothic" w:cs="Times New Roman"/>
                <w:sz w:val="18"/>
                <w:szCs w:val="18"/>
              </w:rPr>
            </w:pPr>
            <w:r>
              <w:rPr>
                <w:rFonts w:eastAsia="MS Gothic" w:cs="Times New Roman" w:ascii="Times New Roman" w:hAnsi="Times New Roman"/>
                <w:kern w:val="0"/>
                <w:sz w:val="18"/>
                <w:szCs w:val="18"/>
                <w:lang w:val="hr-HR" w:eastAsia="en-US" w:bidi="ar-SA"/>
              </w:rPr>
              <w:t xml:space="preserve">Sukladno čl. 6. </w:t>
            </w:r>
            <w:r>
              <w:rPr>
                <w:rFonts w:eastAsia="MS Gothic" w:cs="Times New Roman" w:ascii="Times New Roman" w:hAnsi="Times New Roman"/>
                <w:i/>
                <w:kern w:val="0"/>
                <w:sz w:val="18"/>
                <w:szCs w:val="18"/>
                <w:lang w:val="hr-HR" w:eastAsia="en-US" w:bidi="ar-SA"/>
              </w:rPr>
              <w:t>Etičkog kodeksa</w:t>
            </w:r>
            <w:r>
              <w:rPr>
                <w:rFonts w:eastAsia="MS Gothic" w:cs="Times New Roman" w:ascii="Times New Roman" w:hAnsi="Times New Roman"/>
                <w:kern w:val="0"/>
                <w:sz w:val="18"/>
                <w:szCs w:val="18"/>
                <w:lang w:val="hr-HR" w:eastAsia="en-US" w:bidi="ar-SA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218" w:leader="none"/>
              </w:tabs>
              <w:suppressAutoHyphens w:val="true"/>
              <w:spacing w:before="20" w:after="20"/>
              <w:jc w:val="both"/>
              <w:rPr>
                <w:rFonts w:ascii="Times New Roman" w:hAnsi="Times New Roman" w:eastAsia="MS Gothic" w:cs="Times New Roman"/>
                <w:sz w:val="18"/>
                <w:szCs w:val="18"/>
              </w:rPr>
            </w:pPr>
            <w:r>
              <w:rPr>
                <w:rFonts w:eastAsia="MS Gothic" w:cs="Times New Roman" w:ascii="Times New Roman" w:hAnsi="Times New Roman"/>
                <w:kern w:val="0"/>
                <w:sz w:val="18"/>
                <w:szCs w:val="18"/>
                <w:lang w:val="hr-HR" w:eastAsia="en-US" w:bidi="ar-SA"/>
              </w:rPr>
              <w:t xml:space="preserve">Prema čl. 14. </w:t>
            </w:r>
            <w:r>
              <w:rPr>
                <w:rFonts w:eastAsia="MS Gothic" w:cs="Times New Roman" w:ascii="Times New Roman" w:hAnsi="Times New Roman"/>
                <w:i/>
                <w:kern w:val="0"/>
                <w:sz w:val="18"/>
                <w:szCs w:val="18"/>
                <w:lang w:val="hr-HR" w:eastAsia="en-US" w:bidi="ar-SA"/>
              </w:rPr>
              <w:t>Etičkog kodeksa</w:t>
            </w:r>
            <w:r>
              <w:rPr>
                <w:rFonts w:eastAsia="MS Gothic" w:cs="Times New Roman" w:ascii="Times New Roman" w:hAnsi="Times New Roman"/>
                <w:kern w:val="0"/>
                <w:sz w:val="18"/>
                <w:szCs w:val="18"/>
                <w:lang w:val="hr-HR" w:eastAsia="en-US" w:bidi="ar-SA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načela.[…]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218" w:leader="none"/>
              </w:tabs>
              <w:suppressAutoHyphens w:val="true"/>
              <w:spacing w:before="20" w:after="20"/>
              <w:jc w:val="both"/>
              <w:rPr>
                <w:rFonts w:ascii="Times New Roman" w:hAnsi="Times New Roman" w:eastAsia="MS Gothic" w:cs="Times New Roman"/>
                <w:sz w:val="18"/>
                <w:szCs w:val="18"/>
              </w:rPr>
            </w:pPr>
            <w:r>
              <w:rPr>
                <w:rFonts w:eastAsia="MS Gothic" w:cs="Times New Roman" w:ascii="Times New Roman" w:hAnsi="Times New Roman"/>
                <w:kern w:val="0"/>
                <w:sz w:val="18"/>
                <w:szCs w:val="18"/>
                <w:lang w:val="hr-HR" w:eastAsia="en-US" w:bidi="ar-SA"/>
              </w:rPr>
              <w:t>Etički je nedopušten svaki čin koji predstavlja povrjedu akademskog poštenja. To uključuje, ali se ne ograničava samo na: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218" w:leader="none"/>
              </w:tabs>
              <w:suppressAutoHyphens w:val="true"/>
              <w:spacing w:before="20" w:after="20"/>
              <w:jc w:val="both"/>
              <w:rPr>
                <w:rFonts w:ascii="Times New Roman" w:hAnsi="Times New Roman" w:eastAsia="MS Gothic" w:cs="Times New Roman"/>
                <w:sz w:val="18"/>
                <w:szCs w:val="18"/>
              </w:rPr>
            </w:pPr>
            <w:r>
              <w:rPr>
                <w:rFonts w:eastAsia="MS Gothic" w:cs="Times New Roman" w:ascii="Times New Roman" w:hAnsi="Times New Roman"/>
                <w:kern w:val="0"/>
                <w:sz w:val="18"/>
                <w:szCs w:val="18"/>
                <w:lang w:val="hr-HR" w:eastAsia="en-US" w:bidi="ar-SA"/>
              </w:rPr>
              <w:t>- razne oblike prijevare kao što su uporaba ili posjedovanje knjiga, bilježaka, podataka, elektroničkih naprava ili drugih pomagala za vrijeme ispita, osim u slučajevima kada je to izrijekom dopušteno;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218" w:leader="none"/>
              </w:tabs>
              <w:suppressAutoHyphens w:val="true"/>
              <w:spacing w:before="20" w:after="20"/>
              <w:jc w:val="both"/>
              <w:rPr>
                <w:rFonts w:ascii="Times New Roman" w:hAnsi="Times New Roman" w:eastAsia="MS Gothic" w:cs="Times New Roman"/>
                <w:sz w:val="18"/>
                <w:szCs w:val="18"/>
              </w:rPr>
            </w:pPr>
            <w:r>
              <w:rPr>
                <w:rFonts w:eastAsia="MS Gothic" w:cs="Times New Roman" w:ascii="Times New Roman" w:hAnsi="Times New Roman"/>
                <w:kern w:val="0"/>
                <w:sz w:val="18"/>
                <w:szCs w:val="18"/>
                <w:lang w:val="hr-HR" w:eastAsia="en-US" w:bidi="ar-SA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218" w:leader="none"/>
              </w:tabs>
              <w:suppressAutoHyphens w:val="true"/>
              <w:spacing w:before="20" w:after="20"/>
              <w:jc w:val="both"/>
              <w:rPr>
                <w:rFonts w:ascii="Times New Roman" w:hAnsi="Times New Roman" w:eastAsia="MS Gothic" w:cs="Times New Roman"/>
                <w:sz w:val="18"/>
                <w:szCs w:val="18"/>
              </w:rPr>
            </w:pPr>
            <w:r>
              <w:rPr>
                <w:rFonts w:eastAsia="MS Gothic" w:cs="Times New Roman" w:ascii="Times New Roman" w:hAnsi="Times New Roman"/>
                <w:kern w:val="0"/>
                <w:sz w:val="18"/>
                <w:szCs w:val="18"/>
                <w:lang w:val="hr-HR" w:eastAsia="en-US" w:bidi="ar-SA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4">
              <w:r>
                <w:rPr>
                  <w:rStyle w:val="Internetskapoveznica"/>
                  <w:rFonts w:eastAsia="MS Gothic" w:cs="Times New Roman" w:ascii="Times New Roman" w:hAnsi="Times New Roman"/>
                  <w:i/>
                  <w:color w:val="auto"/>
                  <w:kern w:val="0"/>
                  <w:sz w:val="18"/>
                  <w:szCs w:val="18"/>
                  <w:lang w:val="hr-HR" w:eastAsia="en-US" w:bidi="ar-SA"/>
                </w:rPr>
                <w:t>Pravilnik o stegovnoj odgovornosti studenata/studentica Sveučilišta u Zadru</w:t>
              </w:r>
            </w:hyperlink>
            <w:r>
              <w:rPr>
                <w:rFonts w:eastAsia="MS Gothic" w:cs="Times New Roman" w:ascii="Times New Roman" w:hAnsi="Times New Roman"/>
                <w:kern w:val="0"/>
                <w:sz w:val="18"/>
                <w:szCs w:val="18"/>
                <w:lang w:val="hr-HR" w:eastAsia="en-US" w:bidi="ar-SA"/>
              </w:rPr>
              <w:t>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218" w:leader="none"/>
              </w:tabs>
              <w:suppressAutoHyphens w:val="true"/>
              <w:spacing w:before="20" w:after="20"/>
              <w:jc w:val="both"/>
              <w:rPr>
                <w:rFonts w:ascii="Times New Roman" w:hAnsi="Times New Roman" w:eastAsia="MS Gothic" w:cs="Times New Roman"/>
                <w:sz w:val="18"/>
                <w:szCs w:val="18"/>
              </w:rPr>
            </w:pPr>
            <w:r>
              <w:rPr>
                <w:rFonts w:eastAsia="MS Gothic" w:cs="Times New Roman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1218" w:leader="none"/>
              </w:tabs>
              <w:suppressAutoHyphens w:val="true"/>
              <w:spacing w:before="20" w:after="20"/>
              <w:jc w:val="both"/>
              <w:rPr>
                <w:rFonts w:ascii="Times New Roman" w:hAnsi="Times New Roman" w:eastAsia="MS Gothic" w:cs="Times New Roman"/>
                <w:sz w:val="18"/>
                <w:szCs w:val="18"/>
              </w:rPr>
            </w:pPr>
            <w:r>
              <w:rPr>
                <w:rFonts w:eastAsia="MS Gothic" w:cs="Times New Roman" w:ascii="Times New Roman" w:hAnsi="Times New Roman"/>
                <w:kern w:val="0"/>
                <w:sz w:val="18"/>
                <w:szCs w:val="18"/>
                <w:lang w:val="hr-HR" w:eastAsia="en-US" w:bidi="ar-SA"/>
              </w:rPr>
              <w:t>U elektronskoj komunikaciji bit će odgovarano samo na poruke koje dolaze s poznatih adresa s imenom i prezimenom, te koje su napisane hrvatskim standardom i primjerenim akademskim stilom.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218" w:leader="none"/>
              </w:tabs>
              <w:suppressAutoHyphens w:val="true"/>
              <w:spacing w:before="20" w:after="20"/>
              <w:jc w:val="both"/>
              <w:rPr>
                <w:rFonts w:ascii="Times New Roman" w:hAnsi="Times New Roman" w:eastAsia="MS Gothic" w:cs="Times New Roman"/>
                <w:sz w:val="18"/>
                <w:szCs w:val="18"/>
              </w:rPr>
            </w:pPr>
            <w:r>
              <w:rPr>
                <w:rFonts w:eastAsia="MS Gothic" w:cs="Times New Roman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1218" w:leader="none"/>
              </w:tabs>
              <w:suppressAutoHyphens w:val="true"/>
              <w:spacing w:before="20" w:after="20"/>
              <w:jc w:val="both"/>
              <w:rPr>
                <w:rFonts w:ascii="Times New Roman" w:hAnsi="Times New Roman" w:eastAsia="MS Gothic" w:cs="Times New Roman"/>
                <w:sz w:val="18"/>
                <w:szCs w:val="18"/>
              </w:rPr>
            </w:pPr>
            <w:r>
              <w:rPr>
                <w:rFonts w:eastAsia="MS Gothic" w:cs="Times New Roman" w:ascii="Times New Roman" w:hAnsi="Times New Roman"/>
                <w:kern w:val="0"/>
                <w:sz w:val="18"/>
                <w:szCs w:val="18"/>
                <w:lang w:val="hr-HR" w:eastAsia="en-US" w:bidi="ar-SA"/>
              </w:rPr>
              <w:t xml:space="preserve">U kolegiju se koristi Merlin, sustav za e-učenje, pa su studentima/cama potrebni AAI računi. </w:t>
            </w:r>
            <w:r>
              <w:rPr>
                <w:rFonts w:eastAsia="MS Gothic" w:cs="Times New Roman" w:ascii="Times New Roman" w:hAnsi="Times New Roman"/>
                <w:i/>
                <w:kern w:val="0"/>
                <w:sz w:val="18"/>
                <w:szCs w:val="18"/>
                <w:lang w:val="hr-HR" w:eastAsia="en-US" w:bidi="ar-SA"/>
              </w:rPr>
              <w:t>/izbrisati po potrebi/</w:t>
            </w:r>
          </w:p>
        </w:tc>
      </w:tr>
    </w:tbl>
    <w:p>
      <w:pPr>
        <w:pStyle w:val="Normal"/>
        <w:spacing w:before="120" w:after="120"/>
        <w:rPr>
          <w:rFonts w:ascii="Times New Roman" w:hAnsi="Times New Roman" w:cs="Times New Roman"/>
          <w:sz w:val="18"/>
          <w:szCs w:val="18"/>
        </w:rPr>
      </w:pPr>
      <w:r>
        <w:rPr/>
      </w:r>
    </w:p>
    <w:sectPr>
      <w:headerReference w:type="default" r:id="rId5"/>
      <w:footnotePr>
        <w:numFmt w:val="decimal"/>
      </w:footnotePr>
      <w:type w:val="nextPage"/>
      <w:pgSz w:w="11906" w:h="16838"/>
      <w:pgMar w:left="1417" w:right="1417" w:header="708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Segoe UI Symbol">
    <w:charset w:val="ee"/>
    <w:family w:val="roman"/>
    <w:pitch w:val="variable"/>
  </w:font>
  <w:font w:name="Merriweather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Fusnota"/>
        <w:jc w:val="both"/>
        <w:rPr>
          <w:rFonts w:ascii="Merriweather" w:hAnsi="Merriweather"/>
          <w:sz w:val="15"/>
          <w:szCs w:val="15"/>
        </w:rPr>
      </w:pPr>
      <w:r>
        <w:rPr>
          <w:rStyle w:val="Znakovifusnota"/>
        </w:rPr>
        <w:footnoteRef/>
      </w:r>
      <w:r>
        <w:rPr>
          <w:rFonts w:cs="Times New Roman" w:ascii="Merriweather" w:hAnsi="Merriweather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ilnaslova2"/>
      <w:tabs>
        <w:tab w:val="clear" w:pos="708"/>
        <w:tab w:val="left" w:pos="1418" w:leader="none"/>
      </w:tabs>
      <w:spacing w:beforeAutospacing="0" w:before="0" w:afterAutospacing="0" w:after="0"/>
      <w:ind w:left="1560" w:right="-142" w:hanging="0"/>
      <w:rPr>
        <w:rFonts w:ascii="Merriweather" w:hAnsi="Merriweather"/>
        <w:sz w:val="18"/>
        <w:szCs w:val="20"/>
      </w:rPr>
    </w:pPr>
    <w:r>
      <w:rPr>
        <w:rFonts w:ascii="Merriweather" w:hAnsi="Merriweather"/>
        <w:sz w:val="18"/>
        <w:szCs w:val="20"/>
      </w:rPr>
      <mc:AlternateContent>
        <mc:Choice Requires="wps">
          <w:drawing>
            <wp:anchor behindDoc="1" distT="0" distB="0" distL="0" distR="0" simplePos="0" locked="0" layoutInCell="0" allowOverlap="1" relativeHeight="5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7130" cy="961390"/>
              <wp:effectExtent l="0" t="0" r="0" b="0"/>
              <wp:wrapNone/>
              <wp:docPr id="1" name="Slika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66400" cy="9608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">
                        <a:solidFill>
                          <a:srgbClr val="ffffff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adrajokvira"/>
                            <w:spacing w:before="0" w:after="28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drawing>
                              <wp:inline distT="0" distB="0" distL="0" distR="0">
                                <wp:extent cx="724535" cy="782955"/>
                                <wp:effectExtent l="0" t="0" r="0" b="0"/>
                                <wp:docPr id="3" name="Picture 1" descr="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Picture 1" descr="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24535" cy="78295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Slika1" fillcolor="white" stroked="t" style="position:absolute;margin-left:-16.35pt;margin-top:-21.1pt;width:91.8pt;height:75.6pt;v-text-anchor:middle">
              <w10:wrap type="none"/>
              <v:fill o:detectmouseclick="t" type="solid" color2="black"/>
              <v:stroke color="white" weight="720" joinstyle="round" endcap="flat"/>
              <v:textbox>
                <w:txbxContent>
                  <w:p>
                    <w:pPr>
                      <w:pStyle w:val="Sadrajokvira"/>
                      <w:spacing w:before="0" w:after="28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drawing>
                        <wp:inline distT="0" distB="0" distL="0" distR="0">
                          <wp:extent cx="724535" cy="782955"/>
                          <wp:effectExtent l="0" t="0" r="0" b="0"/>
                          <wp:docPr id="4" name="Picture 1" descr="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Picture 1" descr="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24535" cy="78295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>
    <w:pPr>
      <w:pStyle w:val="Normal"/>
      <w:pBdr>
        <w:bottom w:val="single" w:sz="4" w:space="1" w:color="000000"/>
      </w:pBdr>
      <w:tabs>
        <w:tab w:val="clear" w:pos="708"/>
        <w:tab w:val="left" w:pos="1418" w:leader="none"/>
      </w:tabs>
      <w:spacing w:before="0" w:after="0"/>
      <w:ind w:left="1560" w:hanging="0"/>
      <w:jc w:val="right"/>
      <w:rPr>
        <w:rFonts w:ascii="Merriweather" w:hAnsi="Merriweather"/>
        <w:sz w:val="18"/>
        <w:szCs w:val="20"/>
      </w:rPr>
    </w:pPr>
    <w:r>
      <w:rPr>
        <w:rFonts w:ascii="Merriweather" w:hAnsi="Merriweather"/>
        <w:sz w:val="18"/>
        <w:szCs w:val="20"/>
      </w:rPr>
      <w:t>Obrazac 1.3.2. Izvedbeni plan nastave (</w:t>
    </w:r>
    <w:r>
      <w:rPr>
        <w:rFonts w:ascii="Merriweather" w:hAnsi="Merriweather"/>
        <w:i/>
        <w:sz w:val="18"/>
        <w:szCs w:val="20"/>
      </w:rPr>
      <w:t>syllabus</w:t>
    </w:r>
    <w:r>
      <w:rPr>
        <w:rFonts w:ascii="Merriweather" w:hAnsi="Merriweather"/>
        <w:sz w:val="18"/>
        <w:szCs w:val="20"/>
      </w:rPr>
      <w:t>)</w:t>
    </w:r>
  </w:p>
  <w:p>
    <w:pPr>
      <w:pStyle w:val="Zaglavlje"/>
      <w:rPr/>
    </w:pPr>
    <w:r>
      <w:rPr/>
    </w:r>
  </w:p>
  <w:p>
    <w:pPr>
      <w:pStyle w:val="Zaglavlje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2"/>
  </w:compat>
  <w:hyphenationZone w:val="425"/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r-H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72ac6"/>
    <w:pPr>
      <w:widowControl/>
      <w:suppressAutoHyphens w:val="true"/>
      <w:bidi w:val="0"/>
      <w:spacing w:before="120" w:after="12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r-HR" w:eastAsia="en-US" w:bidi="ar-SA"/>
    </w:rPr>
  </w:style>
  <w:style w:type="paragraph" w:styleId="Stilnaslova2">
    <w:name w:val="Heading 2"/>
    <w:basedOn w:val="Normal"/>
    <w:link w:val="Heading2Char"/>
    <w:uiPriority w:val="9"/>
    <w:qFormat/>
    <w:rsid w:val="0079745e"/>
    <w:pPr>
      <w:spacing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hr-HR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794496"/>
    <w:rPr>
      <w:rFonts w:ascii="Tahoma" w:hAnsi="Tahoma" w:cs="Tahoma"/>
      <w:sz w:val="16"/>
      <w:szCs w:val="16"/>
    </w:rPr>
  </w:style>
  <w:style w:type="character" w:styleId="HeaderChar" w:customStyle="1">
    <w:name w:val="Header Char"/>
    <w:basedOn w:val="DefaultParagraphFont"/>
    <w:link w:val="Header"/>
    <w:uiPriority w:val="99"/>
    <w:qFormat/>
    <w:rsid w:val="009947ba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9947ba"/>
    <w:rPr/>
  </w:style>
  <w:style w:type="character" w:styleId="Internetskapoveznica">
    <w:name w:val="Internetska poveznica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styleId="Heading2Char" w:customStyle="1">
    <w:name w:val="Heading 2 Char"/>
    <w:basedOn w:val="DefaultParagraphFont"/>
    <w:link w:val="Heading2"/>
    <w:uiPriority w:val="9"/>
    <w:qFormat/>
    <w:rsid w:val="0079745e"/>
    <w:rPr>
      <w:rFonts w:ascii="Times New Roman" w:hAnsi="Times New Roman" w:eastAsia="Times New Roman" w:cs="Times New Roman"/>
      <w:b/>
      <w:bCs/>
      <w:sz w:val="36"/>
      <w:szCs w:val="36"/>
      <w:lang w:eastAsia="hr-HR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qFormat/>
    <w:rsid w:val="00f82834"/>
    <w:rPr>
      <w:sz w:val="20"/>
      <w:szCs w:val="20"/>
    </w:rPr>
  </w:style>
  <w:style w:type="character" w:styleId="Sidrofusnote">
    <w:name w:val="Sidro fusnote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f82834"/>
    <w:rPr>
      <w:vertAlign w:val="superscript"/>
    </w:rPr>
  </w:style>
  <w:style w:type="character" w:styleId="Znakovifusnota">
    <w:name w:val="Znakovi fusnota"/>
    <w:qFormat/>
    <w:rPr/>
  </w:style>
  <w:style w:type="character" w:styleId="Sidrozavrnebiljeke">
    <w:name w:val="Sidro završne bilješke"/>
    <w:rPr>
      <w:vertAlign w:val="superscript"/>
    </w:rPr>
  </w:style>
  <w:style w:type="character" w:styleId="Znakovizavrnihbiljeki">
    <w:name w:val="Znakovi završnih bilješki"/>
    <w:qFormat/>
    <w:rPr/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794496"/>
    <w:pPr>
      <w:spacing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spacing w:before="120" w:after="120"/>
      <w:ind w:left="720" w:hanging="0"/>
      <w:contextualSpacing/>
    </w:pPr>
    <w:rPr/>
  </w:style>
  <w:style w:type="paragraph" w:styleId="Zaglavljeipodnoje">
    <w:name w:val="Zaglavlje i podnožje"/>
    <w:basedOn w:val="Normal"/>
    <w:qFormat/>
    <w:pPr/>
    <w:rPr/>
  </w:style>
  <w:style w:type="paragraph" w:styleId="Zaglavlje">
    <w:name w:val="Header"/>
    <w:basedOn w:val="Normal"/>
    <w:link w:val="HeaderChar"/>
    <w:uiPriority w:val="99"/>
    <w:unhideWhenUsed/>
    <w:rsid w:val="009947ba"/>
    <w:pPr>
      <w:tabs>
        <w:tab w:val="clear" w:pos="708"/>
        <w:tab w:val="center" w:pos="4536" w:leader="none"/>
        <w:tab w:val="right" w:pos="9072" w:leader="none"/>
      </w:tabs>
      <w:spacing w:before="0" w:after="0"/>
    </w:pPr>
    <w:rPr/>
  </w:style>
  <w:style w:type="paragraph" w:styleId="Podnoje">
    <w:name w:val="Footer"/>
    <w:basedOn w:val="Normal"/>
    <w:link w:val="FooterChar"/>
    <w:uiPriority w:val="99"/>
    <w:unhideWhenUsed/>
    <w:rsid w:val="009947ba"/>
    <w:pPr>
      <w:tabs>
        <w:tab w:val="clear" w:pos="708"/>
        <w:tab w:val="center" w:pos="4536" w:leader="none"/>
        <w:tab w:val="right" w:pos="9072" w:leader="none"/>
      </w:tabs>
      <w:spacing w:before="0" w:after="0"/>
    </w:pPr>
    <w:rPr/>
  </w:style>
  <w:style w:type="paragraph" w:styleId="Fusnota">
    <w:name w:val="Footnote Text"/>
    <w:basedOn w:val="Normal"/>
    <w:link w:val="FootnoteText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paragraph" w:styleId="Sadrajokvira">
    <w:name w:val="Sadržaj okvira"/>
    <w:basedOn w:val="Normal"/>
    <w:qFormat/>
    <w:pPr/>
    <w:rPr/>
  </w:style>
  <w:style w:type="paragraph" w:styleId="Sadrajitablice">
    <w:name w:val="Sadržaji tablice"/>
    <w:basedOn w:val="Normal"/>
    <w:qFormat/>
    <w:pPr>
      <w:widowControl w:val="false"/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alisica22@unizd.hr" TargetMode="External"/><Relationship Id="rId3" Type="http://schemas.openxmlformats.org/officeDocument/2006/relationships/hyperlink" Target="mailto:ana.lisica1@skole.hr" TargetMode="External"/><Relationship Id="rId4" Type="http://schemas.openxmlformats.org/officeDocument/2006/relationships/hyperlink" Target="http://www.unizd.hr/Portals/0/doc/doc_pdf_dokumenti/pravilnici/pravilnik_o_stegovnoj_odgovornosti_studenata_20150917.pdf" TargetMode="External"/><Relationship Id="rId5" Type="http://schemas.openxmlformats.org/officeDocument/2006/relationships/header" Target="header1.xml"/><Relationship Id="rId6" Type="http://schemas.openxmlformats.org/officeDocument/2006/relationships/footnotes" Target="footnotes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B49718-506C-4310-A9B2-E2A27B3B5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Application>LibreOffice/7.0.1.2$Windows_X86_64 LibreOffice_project/7cbcfc562f6eb6708b5ff7d7397325de9e764452</Application>
  <Pages>4</Pages>
  <Words>1335</Words>
  <Characters>8226</Characters>
  <CharactersWithSpaces>9342</CharactersWithSpaces>
  <Paragraphs>226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2022-09-27T10:10:00Z</dcterms:created>
  <dc:creator>ILončar</dc:creator>
  <dc:description/>
  <dc:language>hr-HR</dc:language>
  <cp:lastModifiedBy/>
  <cp:lastPrinted>2021-02-12T11:27:00Z</cp:lastPrinted>
  <dcterms:modified xsi:type="dcterms:W3CDTF">2023-09-20T10:27:54Z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